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F86" w:rsidRPr="001B2F86" w:rsidRDefault="0073608B" w:rsidP="001B2F86">
      <w:pPr>
        <w:spacing w:before="100" w:beforeAutospacing="1" w:after="100" w:afterAutospacing="1" w:line="240" w:lineRule="auto"/>
        <w:ind w:left="-450" w:right="-540"/>
        <w:outlineLvl w:val="4"/>
        <w:rPr>
          <w:rFonts w:ascii="Arial" w:eastAsia="Times New Roman" w:hAnsi="Arial" w:cs="Arial"/>
          <w:b/>
          <w:bCs/>
          <w:sz w:val="20"/>
          <w:szCs w:val="20"/>
        </w:rPr>
      </w:pPr>
      <w:r>
        <w:rPr>
          <w:rFonts w:ascii="Arial" w:eastAsia="Times New Roman" w:hAnsi="Arial" w:cs="Arial"/>
          <w:b/>
          <w:bCs/>
          <w:sz w:val="20"/>
          <w:szCs w:val="20"/>
        </w:rPr>
        <w:t xml:space="preserve">40 CFR 60 </w:t>
      </w:r>
      <w:r w:rsidR="001B2F86" w:rsidRPr="001B2F86">
        <w:rPr>
          <w:rFonts w:ascii="Arial" w:eastAsia="Times New Roman" w:hAnsi="Arial" w:cs="Arial"/>
          <w:b/>
          <w:bCs/>
          <w:sz w:val="20"/>
          <w:szCs w:val="20"/>
        </w:rPr>
        <w:t>Subpart IIII—Standards of Performance for Stationary Compression Ignition Internal Combustion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b/>
          <w:bCs/>
          <w:sz w:val="20"/>
          <w:szCs w:val="20"/>
        </w:rPr>
        <w:t>Source:</w:t>
      </w:r>
      <w:r w:rsidRPr="001B2F86">
        <w:rPr>
          <w:rFonts w:ascii="Arial" w:eastAsia="Times New Roman" w:hAnsi="Arial" w:cs="Arial"/>
          <w:sz w:val="20"/>
          <w:szCs w:val="20"/>
        </w:rPr>
        <w:t xml:space="preserve">   71 FR 39172, July 11, 2006, unless otherwise noted.</w:t>
      </w:r>
      <w:r w:rsidRPr="001B2F86">
        <w:rPr>
          <w:rFonts w:ascii="Arial" w:eastAsia="Times New Roman" w:hAnsi="Arial" w:cs="Arial"/>
          <w:sz w:val="18"/>
          <w:szCs w:val="18"/>
        </w:rPr>
        <w:t xml:space="preserve"> </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What This Subpart Covers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60.4200   Am I subject to this subpart?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Manufacturers of stationary CI ICE with a displacement of less than 30 liters per cylinder where the model year is: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2007 or later, for engines that are not fire pump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The model year listed in table 3 to this subpart or later model year, for fire pump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Owners and operators of stationary CI ICE that commence construction after July 11, 2005 where the stationary CI ICE are: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Manufactured after April 1, 2006 and are not fire pump engines, or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Manufactured as a certified National Fire Protection Association (NFPA) fire pump engine after July 1, 2006.</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(3) Owners and operators of stationary CI ICE that modify or reconstruct their stationary CI ICE after July 11, 2005.</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The provisions of this subpart are not applicable to stationary CI ICE being tested at a stationary CI ICE test cell/stand.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Emission Standards for Manufacturers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60.4201   What emission standards must I meet for non-emergency engines if I am a stationary CI internal combustion engine manufacturer?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lastRenderedPageBreak/>
        <w:t>(d) Stationary CI internal combustion engine manufacturers must certify their 2007 model year and later non-emergency stationary CI ICE with a displacement of greater than or equal to 10 liters per cylinder and less than 30 liters per cylinder to the certification emission standards for new marine CI engines in 40 CFR 94.8, as applicable, for all pollutants, for the same displacement and maximum engine power.</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60.4202   What emission standards must I meet for emergency engines if I am a stationary CI internal combustion engine manufacturer?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For engines with a maximum engine power less than 37 KW (50 HP):</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The certification emission standards for new nonroad CI engines for the same model year and maximum engine power in 40 CFR 89.112 and 40 CFR 89.113 for all pollutants for model year 2007 engines, and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The certification emission standards for new nonroad CI engines in 40 CFR 1039.104, 40 CFR 1039.105, 40 CFR 1039.107, 40 CFR 1039.115, and table 2 to this subpart, for 2008 model year and later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For 2007 through 2010 model years, the emission standards in table 1 to this subpart, for all pollutants, for the same maximum engine power.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For 2011 model year and later, the certification emission standards for new nonroad CI engines for engines of the same model year and maximum engine power in 40 CFR 89.112 and 40 CFR 89.113 for all pollutants.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Stationary CI internal combustion engine manufacturers must certify their 2007 model year and later emergency stationary CI ICE with a displacement of greater than or equal to 10 liters per cylinder and less than 30 liters per cylinder that are not fire pump engines to the certification emission standards for new marine CI engines in 40 CFR 94.8, as applicable, for all pollutants, for the same displacement and maximum engine power.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60.4203   How long must my engines meet the emission standards if I am a stationary CI internal combustion engine manufacturer?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Engines manufactured by stationary CI internal combustion engine manufacturers must meet the emission standards as required in §§60.4201 and 60.4202 during the useful life of the engines.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Emission Standards for Owners and Operators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60.4204   What emission standards must I meet for non-emergency engines if I am an owner or operator of a stationary CI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lastRenderedPageBreak/>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Owners and operators of non-emergency stationary CI ICE with a displacement of greater than or equal to 30 liters per cylinder must meet the requirements in paragraphs (c)(1) and (2)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Reduce nitrogen oxides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 emissions by 90 percent or more, or limit the emissions of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in the stationary CI internal combustion engine exhaust to 1.6 grams per KW-hour (g/KW-hr) (1.2 grams per HP-hour (g/HP-hr)).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Reduce particulate matter (PM) emissions by 60 percent or more, or limit the emissions of PM in the stationary CI internal combustion engine exhaust to 0.15 g/KW-hr (0.11 g/HP-hr).</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60.4205   What emission standards must I meet for emergency engines if I am an owner or operator of a stationary CI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Owners and operators of pre-2007 model year emergency stationary CI ICE with a displacement of less than 10 liters per cylinder that are not fire pump engines must comply with the emission standards in table 1 to this subpart. Owners and operators of pre-2007 model year non-emergency stationary CI ICE with a displacement of greater than or equal to 10 liters per cylinder and less than 30 liters per cylinder that are not fire pump engines must comply with the emission standards in 40 CFR 94.8(a)(1).</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Owners and operators of fire pump engines with a displacement of less than 30 liters per cylinder must comply with the emission standards in table 4 to this subpart, for all pollutants.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Owners and operators of emergency stationary CI ICE with a displacement of greater than or equal to 30 liters per cylinder must meet the requirements in paragraphs (d)(1) and (2)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Reduce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emissions by 90 percent or more, or limit the emissions of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in the stationary CI internal combustion engine exhaust to 1.6 grams per KW-hour (1.2 grams per HP-hour).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Reduce PM emissions by 60 percent or more, or limit the emissions of PM in the stationary CI internal combustion engine exhaust to 0.15 g/KW-hr (0.11 g/HP-hr).</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60.4206   How long must I meet the emission standards if I am an owner or operator of a stationary CI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Fuel Requirements for Owners and Operators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60.4207   What fuel requirements must I meet if I am an owner or operator of a stationary CI internal combustion engine subject to this subpart?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Beginning October 1, 2007, owners and operators of stationary CI ICE subject to this subpart that use diesel fuel must use diesel fuel that meets the requirements of 40 CFR 80.510(a).</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Beginning October 1, 2010, owners and operators of stationary CI ICE subject to this subpart with a displacement of less than 30 liters per cylinder that use diesel fuel must use diesel fuel that meets the requirements of 40 CFR 80.510(b) for nonroad diesel fuel.</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be valid for a period of up to 6 months. If additional time is needed, the owner or operator is required to submit a new petition to the Administrator.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lastRenderedPageBreak/>
        <w:t>(d) Owners and operators of pre-2011 model year stationary CI ICE subject to this subpart that are located in areas of Alaska not accessible by the Federal Aid Highway System may petition the Administrator for approval to use any fuels mixed with used lubricating oil that do not meet the fuel requirements of paragraphs (a) and (b) of this section. Owners and operators must demonstrate in their petition to the Administrator that there is no other place to use the lubricating oil. If approved, the petition will be valid for a period of up to 6 months. If additional time is needed, the owner or operator is required to submit a new petition to the Administrator.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(e) Stationary CI ICE that have a national security exemption under §60.4200(d) are also exempt from the fuel requirements in this section.</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Other Requirements for Owners and Operators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60.4208   What is the deadline for importing or installing stationary CI ICE produced in the previous model year?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After December 31, 2008, owners and operators may not install stationary CI ICE (excluding fire pump engines) that do not meet the applicable requirements for 2007 model year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After December 31, 2009, owners and operators may not install stationary CI ICE with a maximum engine power of less than 19 KW (25 HP) (excluding fire pump engines) that do not meet the applicable requirements for 2008 model year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(f) After December 31, 2016, owners and operators may not install non-emergency stationary CI ICE with a maximum engine power of greater than or equal to 560 KW (750 HP) that do not meet the applicable requirements for 2015 model year non-emergency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(g) 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(h) The requirements of this section do not apply to owners or operators of stationary CI ICE that have been modified, reconstructed, and do not apply to engines that were removed from one existing location and reinstalled at a new location.</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60.4209   What are the monitoring requirements if I am an owner or operator of a stationary CI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If you are an owner or operator, you must meet the monitoring requirements of this section. In addition, you must also meet the monitoring requirements specified in §60.4211.</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If you are an owner or operator of an emergency stationary CI internal combustion engine, you must install a non-resettable hour meter prior to startup of the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Compliance Requirements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60.4210   What are my compliance requirements if I am a stationary CI internal combustion engine manufacturer?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lastRenderedPageBreak/>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CFR part 94 subpart C, and must test their engines as specified in 40 CFR part 94.</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Stationary CI internal combustion engine manufacturers must meet the requirements of 40 CFR 1039.120, 40 CFR 1039.125, 40 CFR 1039.130, 40 CFR 1039.135, and 40 CFR part 1068 for engines that are certified to the emission standards in 40 CFR part 1039. Stationary CI internal combustion engine manufacturers must meet the corresponding provisions of 40 CFR part 89 or 40 CFR part 94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Stationary CI internal combustion engines that are part of certified engine families under the nonroad regulations must meet the labeling requirements for nonroad CI engines, but do not have to meet the labeling requirements in 40 CFR 1039.20.</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(3) Stationary CI internal combustion engines manufactured after January 1, 2007 (for fire pump engines, after January 1 of the year listed in table 3 to this subpart, as applicable) must be labeled according to paragraphs (c)(3)(i) through (iii)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Stationary CI internal combustion engines that meet the requirements of this subpart and the corresponding requirements for nonroad (including marine) engines of the same model year and HP must be labeled according to the provisions in part 89, 94 or 1039, as appropriate.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Stationary CI internal combustion engines that meet the requirements of this subpart, but are not certified to the standards applicable to nonroad (including marine) engines of the same model year and HP must be labeled according to the provisions in part 89, 94 or 1039, as appropriate, but the words “stationary” must be included instead of “nonroad” or “marine” on the label. In addition, such engines must be labeled according to 40 CFR 1039.20.</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(iii) Stationary CI internal combustion engines that do not meet the requirements of this subpart must be labeled according to 40 CFR 1068.230 and must be exported under the provisions of 40 CFR 1068.230.</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 xml:space="preserve">(d) An engine manufacturer certifying an engine family or families to standards under this subpart that are identical to standards applicable under parts 89, 94, or 1039 for that model year may certify any such family that contains both nonroad (including </w:t>
      </w:r>
      <w:r w:rsidRPr="001B2F86">
        <w:rPr>
          <w:rFonts w:ascii="Arial" w:eastAsia="Times New Roman" w:hAnsi="Arial" w:cs="Arial"/>
          <w:sz w:val="18"/>
          <w:szCs w:val="18"/>
        </w:rPr>
        <w:lastRenderedPageBreak/>
        <w:t>marine) and stationary engines as a single engine family and/or may include any such family containing stationary engines in the averaging, banking and trading provisions applicable for such engines under those parts.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(g) Manufacturers of fire pump engines may use the test cycle in table 6 to this subpart for testing fire pump engines and may test at the NFPA certified nameplate HP, provided that the engine is labeled as “Fire Pump Applications Only”.</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The replacement engine provisions of 40 CFR 89.1003(b)(7), 40 CFR 94.1103(b)(3), 40 CFR 94.1103(b)(4) and 40 CFR 1068.240 are applicable to stationary CI engines replacing existing equipment that is less than 15 years old.</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60.4211   What are my compliance requirements if I am an owner or operator of a stationary CI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Purchasing an engine certified according to 40 CFR part 89 or 40 CFR part 94, as applicable, for the same model year and maximum engine power. The engine must be installed and configured according to the manufacturer's specifications.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Keeping records of performance test results for each pollutant for a test conducted on a similar engine. The test must have been conducted using the same methods specified in this subpart and these methods must have been followed correctly.</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(3) Keeping records of engine manufacturer data indicating compliance with the standards.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(4) Keeping records of control device vendor data indicating compliance with the standards.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(5) Conducting an initial performance test to demonstrate compliance with the emission standards according to the requirements specified in §60.4212, as applicable.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specifications.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If you are an owner or operator and must comply with the emission standards specified in §60.4204(c) or §60.4205(d), you must demonstrate compliance according to the requirements specified in paragraphs (d)(1) through (3)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Conducting an initial performance test to demonstrate initial compliance with the emission standards as specified in §60.4213.</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Identification of the specific parameters you propose to monitor continuously;</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A discussion of the relationship between these parameters and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and PM emissions, identifying how the emissions of these pollutants change with changes in these parameters, and how limitations on these parameters will serve to limit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and PM emissions;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(iii) A discussion of how you will establish the upper and/or lower values for these parameters which will establish the limits on these parameters in the operating limitations;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(iv) A discussion identifying the methods and the instruments you will use to monitor these parameters, as well as the relative accuracy and precision of these methods and instruments; and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(v) A discussion identifying the frequency and methods for recalibrating the instruments you will use for monitoring these parameters.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(3) For non-emergency engines with a displacement of greater than or equal to 30 liters per cylinder, conducting annual performance tests to demonstrate continuous compliance with the emission standards as specified in §60.4213.</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(e)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§60.4205 but not §60.4204, any operation other than emergency operation, and maintenance and testing as permitted in this section, is prohibited.</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Testing Requirements for Owners and Operators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60.4212   What test methods and other procedures must I use if I am an owner or operator of a stationary CI internal combustion engine with a displacement of less than 30 liters per cylinder?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Owners and operators of stationary CI ICE with a displacement of less than 30 liters per cylinder who conduct performance tests pursuant to this subpart must do so according to paragraphs (a) through (d)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The performance test must be conducted according to the in-use testing procedures in 40 CFR part 1039, subpart F.</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3409950" cy="190500"/>
            <wp:effectExtent l="19050" t="0" r="0" b="0"/>
            <wp:docPr id="1" name="Picture 1" descr="http://www.access.gpo.gov/ecfr/graphics/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1jy06.000.gif"/>
                    <pic:cNvPicPr>
                      <a:picLocks noChangeAspect="1" noChangeArrowheads="1"/>
                    </pic:cNvPicPr>
                  </pic:nvPicPr>
                  <pic:blipFill>
                    <a:blip r:embed="rId4" cstate="print"/>
                    <a:srcRect/>
                    <a:stretch>
                      <a:fillRect/>
                    </a:stretch>
                  </pic:blipFill>
                  <pic:spPr bwMode="auto">
                    <a:xfrm>
                      <a:off x="0" y="0"/>
                      <a:ext cx="3409950" cy="190500"/>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STD = The standard specified for that pollutant in 40 CFR 89.112 or 40 CFR 94.8, as applicable.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Alternatively, stationary CI ICE that are complying with the emission standards for new CI engines in 40 CFR 89.112 or 40 CFR 94.8 may follow the testing procedures specified in §60.4213 of this subpart, as appropriate.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STD = The standard specified for that pollutant in §60.4204(a), §60.4205(a), or §60.4205(c).</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Alternatively, stationary CI ICE that are complying with the emission standards for pre-2007 model year engines in §60.4204(a), §60.4205(a), or §60.4205(c) may follow the testing procedures specified in §60.4213, as appropriate.</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60.4213   What test methods and other procedures must I use if I am an owner or operator of a stationary CI internal combustion engine with a displacement of greater than or equal to 30 liters per cylinder?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Owners and operators of stationary CI ICE with a displacement of greater than or equal to 30 liters per cylinder must conduct performance tests according to paragraphs (a) through (d)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Each performance test must be conducted according to the requirements in §60.8 and under the specific conditions that this subpart specifies in table 7. The test must be conducted within 10 percent of 100 percent peak (or the highest achievable) load.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You may not conduct performance tests during periods of startup, shutdown, or malfunction, as specified in §60.8(c).</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You must conduct three separate test runs for each performance test required in this section, as specified in §60.8(f). Each test run must last at least 1 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 To determine compliance with the percent reduction requirement, you must follow the requirements as specified in paragraphs (d)(1) through (3)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You must use Equation 2 of this section to determine compliance with the percent reduction requirement:</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1647825" cy="542925"/>
            <wp:effectExtent l="19050" t="0" r="9525" b="0"/>
            <wp:docPr id="2" name="Picture 2" descr="http://www.access.gpo.gov/ecfr/graphics/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1jy06.001.gif"/>
                    <pic:cNvPicPr>
                      <a:picLocks noChangeAspect="1" noChangeArrowheads="1"/>
                    </pic:cNvPicPr>
                  </pic:nvPicPr>
                  <pic:blipFill>
                    <a:blip r:embed="rId5" cstate="print"/>
                    <a:srcRect/>
                    <a:stretch>
                      <a:fillRect/>
                    </a:stretch>
                  </pic:blipFill>
                  <pic:spPr bwMode="auto">
                    <a:xfrm>
                      <a:off x="0" y="0"/>
                      <a:ext cx="1647825" cy="542925"/>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i</w:t>
      </w:r>
      <w:r w:rsidRPr="001B2F86">
        <w:rPr>
          <w:rFonts w:ascii="Arial" w:eastAsia="Times New Roman" w:hAnsi="Arial" w:cs="Arial"/>
          <w:sz w:val="20"/>
          <w:szCs w:val="20"/>
        </w:rPr>
        <w:t>= concentration of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at the control device inlet,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o</w:t>
      </w:r>
      <w:r w:rsidRPr="001B2F86">
        <w:rPr>
          <w:rFonts w:ascii="Arial" w:eastAsia="Times New Roman" w:hAnsi="Arial" w:cs="Arial"/>
          <w:sz w:val="20"/>
          <w:szCs w:val="20"/>
        </w:rPr>
        <w:t>= concentration of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at the control device outlet, and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R = percent reduction of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emissions.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You must normalize the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or PM concentrations at the inlet and outlet of the control device to a dry basis and to 15 percent oxygen (O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 using Equation 3 of this section, or an equivalent percent carbon dioxide (CO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 using the procedures described in paragraph (d)(3) of this section.</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1771650" cy="381000"/>
            <wp:effectExtent l="19050" t="0" r="0" b="0"/>
            <wp:docPr id="3" name="Picture 3" descr="http://www.access.gpo.gov/ecfr/graphics/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1jy06.002.gif"/>
                    <pic:cNvPicPr>
                      <a:picLocks noChangeAspect="1" noChangeArrowheads="1"/>
                    </pic:cNvPicPr>
                  </pic:nvPicPr>
                  <pic:blipFill>
                    <a:blip r:embed="rId6" cstate="print"/>
                    <a:srcRect/>
                    <a:stretch>
                      <a:fillRect/>
                    </a:stretch>
                  </pic:blipFill>
                  <pic:spPr bwMode="auto">
                    <a:xfrm>
                      <a:off x="0" y="0"/>
                      <a:ext cx="1771650" cy="381000"/>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adj</w:t>
      </w:r>
      <w:r w:rsidRPr="001B2F86">
        <w:rPr>
          <w:rFonts w:ascii="Arial" w:eastAsia="Times New Roman" w:hAnsi="Arial" w:cs="Arial"/>
          <w:sz w:val="20"/>
          <w:szCs w:val="20"/>
        </w:rPr>
        <w:t>= Calculated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concentration adjusted to 15 percent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d</w:t>
      </w:r>
      <w:r w:rsidRPr="001B2F86">
        <w:rPr>
          <w:rFonts w:ascii="Arial" w:eastAsia="Times New Roman" w:hAnsi="Arial" w:cs="Arial"/>
          <w:sz w:val="20"/>
          <w:szCs w:val="20"/>
        </w:rPr>
        <w:t>= Measured concentration of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uncorrected.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5.9 = 20.9 percent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−15 percent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 the defined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correction value, percent.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 Measured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concentration, dry basis, percent.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(3) If pollutant concentrations are to be corrected to 15 percent 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and CO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concentration is measured in lieu of 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concentration measurement, a CO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correction factor is needed. Calculate the CO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correction factor as described in paragraphs (d)(3)(i) through (iii)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Calculate the fuel-specific F</w:t>
      </w:r>
      <w:r w:rsidRPr="001B2F86">
        <w:rPr>
          <w:rFonts w:ascii="Arial" w:eastAsia="Times New Roman" w:hAnsi="Arial" w:cs="Arial"/>
          <w:sz w:val="18"/>
          <w:szCs w:val="18"/>
          <w:vertAlign w:val="subscript"/>
        </w:rPr>
        <w:t>o</w:t>
      </w:r>
      <w:r w:rsidRPr="001B2F86">
        <w:rPr>
          <w:rFonts w:ascii="Arial" w:eastAsia="Times New Roman" w:hAnsi="Arial" w:cs="Arial"/>
          <w:sz w:val="18"/>
          <w:szCs w:val="18"/>
        </w:rPr>
        <w:t>value for the fuel burned during the test using values obtained from Method 19, Section 5.2, and the following equation:</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1304925" cy="390525"/>
            <wp:effectExtent l="19050" t="0" r="9525" b="0"/>
            <wp:docPr id="4" name="Picture 4" descr="http://www.access.gpo.gov/ecfr/graphics/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1jy06.003.gif"/>
                    <pic:cNvPicPr>
                      <a:picLocks noChangeAspect="1" noChangeArrowheads="1"/>
                    </pic:cNvPicPr>
                  </pic:nvPicPr>
                  <pic:blipFill>
                    <a:blip r:embed="rId7" cstate="print"/>
                    <a:srcRect/>
                    <a:stretch>
                      <a:fillRect/>
                    </a:stretch>
                  </pic:blipFill>
                  <pic:spPr bwMode="auto">
                    <a:xfrm>
                      <a:off x="0" y="0"/>
                      <a:ext cx="1304925" cy="390525"/>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F</w:t>
      </w:r>
      <w:r w:rsidRPr="001B2F86">
        <w:rPr>
          <w:rFonts w:ascii="Arial" w:eastAsia="Times New Roman" w:hAnsi="Arial" w:cs="Arial"/>
          <w:sz w:val="20"/>
          <w:szCs w:val="20"/>
          <w:vertAlign w:val="subscript"/>
        </w:rPr>
        <w:t>o</w:t>
      </w:r>
      <w:r w:rsidRPr="001B2F86">
        <w:rPr>
          <w:rFonts w:ascii="Arial" w:eastAsia="Times New Roman" w:hAnsi="Arial" w:cs="Arial"/>
          <w:sz w:val="20"/>
          <w:szCs w:val="20"/>
        </w:rPr>
        <w:t>= Fuel factor based on the ratio of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volume to the ultimate CO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volume produced by the fuel at zero percent excess air.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0.209 = Fraction of air that is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 percent/100.</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F</w:t>
      </w:r>
      <w:r w:rsidRPr="001B2F86">
        <w:rPr>
          <w:rFonts w:ascii="Arial" w:eastAsia="Times New Roman" w:hAnsi="Arial" w:cs="Arial"/>
          <w:sz w:val="20"/>
          <w:szCs w:val="20"/>
          <w:vertAlign w:val="subscript"/>
        </w:rPr>
        <w:t>d</w:t>
      </w:r>
      <w:r w:rsidRPr="001B2F86">
        <w:rPr>
          <w:rFonts w:ascii="Arial" w:eastAsia="Times New Roman" w:hAnsi="Arial" w:cs="Arial"/>
          <w:sz w:val="20"/>
          <w:szCs w:val="20"/>
        </w:rPr>
        <w:t>= Ratio of the volume of dry effluent gas to the gross calorific value of the fuel from Method 19, dsm</w:t>
      </w:r>
      <w:r w:rsidRPr="001B2F86">
        <w:rPr>
          <w:rFonts w:ascii="Arial" w:eastAsia="Times New Roman" w:hAnsi="Arial" w:cs="Arial"/>
          <w:sz w:val="20"/>
          <w:szCs w:val="20"/>
          <w:vertAlign w:val="superscript"/>
        </w:rPr>
        <w:t>3</w:t>
      </w:r>
      <w:r w:rsidRPr="001B2F86">
        <w:rPr>
          <w:rFonts w:ascii="Arial" w:eastAsia="Times New Roman" w:hAnsi="Arial" w:cs="Arial"/>
          <w:sz w:val="20"/>
          <w:szCs w:val="20"/>
        </w:rPr>
        <w:t xml:space="preserve"> /J (dscf/10</w:t>
      </w:r>
      <w:r w:rsidRPr="001B2F86">
        <w:rPr>
          <w:rFonts w:ascii="Arial" w:eastAsia="Times New Roman" w:hAnsi="Arial" w:cs="Arial"/>
          <w:sz w:val="20"/>
          <w:szCs w:val="20"/>
          <w:vertAlign w:val="superscript"/>
        </w:rPr>
        <w:t>6</w:t>
      </w:r>
      <w:r w:rsidRPr="001B2F86">
        <w:rPr>
          <w:rFonts w:ascii="Arial" w:eastAsia="Times New Roman" w:hAnsi="Arial" w:cs="Arial"/>
          <w:sz w:val="20"/>
          <w:szCs w:val="20"/>
        </w:rPr>
        <w:t xml:space="preserve"> Btu).</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F</w:t>
      </w:r>
      <w:r w:rsidRPr="001B2F86">
        <w:rPr>
          <w:rFonts w:ascii="Arial" w:eastAsia="Times New Roman" w:hAnsi="Arial" w:cs="Arial"/>
          <w:sz w:val="20"/>
          <w:szCs w:val="20"/>
          <w:vertAlign w:val="subscript"/>
        </w:rPr>
        <w:t>c</w:t>
      </w:r>
      <w:r w:rsidRPr="001B2F86">
        <w:rPr>
          <w:rFonts w:ascii="Arial" w:eastAsia="Times New Roman" w:hAnsi="Arial" w:cs="Arial"/>
          <w:sz w:val="20"/>
          <w:szCs w:val="20"/>
        </w:rPr>
        <w:t>= Ratio of the volume of CO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produced to the gross calorific value of the fuel from Method 19, dsm</w:t>
      </w:r>
      <w:r w:rsidRPr="001B2F86">
        <w:rPr>
          <w:rFonts w:ascii="Arial" w:eastAsia="Times New Roman" w:hAnsi="Arial" w:cs="Arial"/>
          <w:sz w:val="20"/>
          <w:szCs w:val="20"/>
          <w:vertAlign w:val="superscript"/>
        </w:rPr>
        <w:t>3</w:t>
      </w:r>
      <w:r w:rsidRPr="001B2F86">
        <w:rPr>
          <w:rFonts w:ascii="Arial" w:eastAsia="Times New Roman" w:hAnsi="Arial" w:cs="Arial"/>
          <w:sz w:val="20"/>
          <w:szCs w:val="20"/>
        </w:rPr>
        <w:t xml:space="preserve"> /J (dscf/10</w:t>
      </w:r>
      <w:r w:rsidRPr="001B2F86">
        <w:rPr>
          <w:rFonts w:ascii="Arial" w:eastAsia="Times New Roman" w:hAnsi="Arial" w:cs="Arial"/>
          <w:sz w:val="20"/>
          <w:szCs w:val="20"/>
          <w:vertAlign w:val="superscript"/>
        </w:rPr>
        <w:t>6</w:t>
      </w:r>
      <w:r w:rsidRPr="001B2F86">
        <w:rPr>
          <w:rFonts w:ascii="Arial" w:eastAsia="Times New Roman" w:hAnsi="Arial" w:cs="Arial"/>
          <w:sz w:val="20"/>
          <w:szCs w:val="20"/>
        </w:rPr>
        <w:t xml:space="preserve"> Btu).</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Calculate the CO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correction factor for correcting measurement data to 15 percent 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 as follows:</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1266825" cy="381000"/>
            <wp:effectExtent l="19050" t="0" r="9525" b="0"/>
            <wp:docPr id="5" name="Picture 5" descr="http://www.access.gpo.gov/ecfr/graphics/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1jy06.004.gif"/>
                    <pic:cNvPicPr>
                      <a:picLocks noChangeAspect="1" noChangeArrowheads="1"/>
                    </pic:cNvPicPr>
                  </pic:nvPicPr>
                  <pic:blipFill>
                    <a:blip r:embed="rId8" cstate="print"/>
                    <a:srcRect/>
                    <a:stretch>
                      <a:fillRect/>
                    </a:stretch>
                  </pic:blipFill>
                  <pic:spPr bwMode="auto">
                    <a:xfrm>
                      <a:off x="0" y="0"/>
                      <a:ext cx="1266825" cy="381000"/>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X</w:t>
      </w:r>
      <w:r w:rsidRPr="001B2F86">
        <w:rPr>
          <w:rFonts w:ascii="Arial" w:eastAsia="Times New Roman" w:hAnsi="Arial" w:cs="Arial"/>
          <w:sz w:val="20"/>
          <w:szCs w:val="20"/>
          <w:vertAlign w:val="subscript"/>
        </w:rPr>
        <w:t>CO2</w:t>
      </w:r>
      <w:r w:rsidRPr="001B2F86">
        <w:rPr>
          <w:rFonts w:ascii="Arial" w:eastAsia="Times New Roman" w:hAnsi="Arial" w:cs="Arial"/>
          <w:sz w:val="20"/>
          <w:szCs w:val="20"/>
        </w:rPr>
        <w:t>= CO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correction factor, percent.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5.9 = 20.9 percent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−15 percent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 the defined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correction value, percent.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(iii) Calculate the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and PM gas concentrations adjusted to 15 percent 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using CO</w:t>
      </w:r>
      <w:r w:rsidRPr="001B2F86">
        <w:rPr>
          <w:rFonts w:ascii="Arial" w:eastAsia="Times New Roman" w:hAnsi="Arial" w:cs="Arial"/>
          <w:sz w:val="18"/>
          <w:szCs w:val="18"/>
          <w:vertAlign w:val="subscript"/>
        </w:rPr>
        <w:t>2</w:t>
      </w:r>
      <w:r w:rsidRPr="001B2F86">
        <w:rPr>
          <w:rFonts w:ascii="Arial" w:eastAsia="Times New Roman" w:hAnsi="Arial" w:cs="Arial"/>
          <w:sz w:val="18"/>
          <w:szCs w:val="18"/>
        </w:rPr>
        <w:t>as follows:</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1495425" cy="390525"/>
            <wp:effectExtent l="19050" t="0" r="9525" b="0"/>
            <wp:docPr id="6" name="Picture 6" descr="http://www.access.gpo.gov/ecfr/graphics/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1jy06.005.gif"/>
                    <pic:cNvPicPr>
                      <a:picLocks noChangeAspect="1" noChangeArrowheads="1"/>
                    </pic:cNvPicPr>
                  </pic:nvPicPr>
                  <pic:blipFill>
                    <a:blip r:embed="rId9" cstate="print"/>
                    <a:srcRect/>
                    <a:stretch>
                      <a:fillRect/>
                    </a:stretch>
                  </pic:blipFill>
                  <pic:spPr bwMode="auto">
                    <a:xfrm>
                      <a:off x="0" y="0"/>
                      <a:ext cx="1495425" cy="390525"/>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adj</w:t>
      </w:r>
      <w:r w:rsidRPr="001B2F86">
        <w:rPr>
          <w:rFonts w:ascii="Arial" w:eastAsia="Times New Roman" w:hAnsi="Arial" w:cs="Arial"/>
          <w:sz w:val="20"/>
          <w:szCs w:val="20"/>
        </w:rPr>
        <w:t>= Calculated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concentration adjusted to 15 percent 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d</w:t>
      </w:r>
      <w:r w:rsidRPr="001B2F86">
        <w:rPr>
          <w:rFonts w:ascii="Arial" w:eastAsia="Times New Roman" w:hAnsi="Arial" w:cs="Arial"/>
          <w:sz w:val="20"/>
          <w:szCs w:val="20"/>
        </w:rPr>
        <w:t>= Measured concentration of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or PM, uncorrected.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 Measured CO</w:t>
      </w:r>
      <w:r w:rsidRPr="001B2F86">
        <w:rPr>
          <w:rFonts w:ascii="Arial" w:eastAsia="Times New Roman" w:hAnsi="Arial" w:cs="Arial"/>
          <w:sz w:val="20"/>
          <w:szCs w:val="20"/>
          <w:vertAlign w:val="subscript"/>
        </w:rPr>
        <w:t>2</w:t>
      </w:r>
      <w:r w:rsidRPr="001B2F86">
        <w:rPr>
          <w:rFonts w:ascii="Arial" w:eastAsia="Times New Roman" w:hAnsi="Arial" w:cs="Arial"/>
          <w:sz w:val="20"/>
          <w:szCs w:val="20"/>
        </w:rPr>
        <w:t>concentration, dry basis, percent.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(e) To determine compliance with the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mass per unit output emission limitation, convert the concentration of NO</w:t>
      </w:r>
      <w:r w:rsidRPr="001B2F86">
        <w:rPr>
          <w:rFonts w:ascii="Arial" w:eastAsia="Times New Roman" w:hAnsi="Arial" w:cs="Arial"/>
          <w:sz w:val="18"/>
          <w:szCs w:val="18"/>
          <w:vertAlign w:val="subscript"/>
        </w:rPr>
        <w:t>X</w:t>
      </w:r>
      <w:r w:rsidRPr="001B2F86">
        <w:rPr>
          <w:rFonts w:ascii="Arial" w:eastAsia="Times New Roman" w:hAnsi="Arial" w:cs="Arial"/>
          <w:sz w:val="18"/>
          <w:szCs w:val="18"/>
        </w:rPr>
        <w:t>in the engine exhaust using Equation 7 of this section:</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2476500" cy="361950"/>
            <wp:effectExtent l="19050" t="0" r="0" b="0"/>
            <wp:docPr id="7" name="Picture 7" descr="http://www.access.gpo.gov/ecfr/graphics/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11jy06.006.gif"/>
                    <pic:cNvPicPr>
                      <a:picLocks noChangeAspect="1" noChangeArrowheads="1"/>
                    </pic:cNvPicPr>
                  </pic:nvPicPr>
                  <pic:blipFill>
                    <a:blip r:embed="rId10" cstate="print"/>
                    <a:srcRect/>
                    <a:stretch>
                      <a:fillRect/>
                    </a:stretch>
                  </pic:blipFill>
                  <pic:spPr bwMode="auto">
                    <a:xfrm>
                      <a:off x="0" y="0"/>
                      <a:ext cx="2476500" cy="361950"/>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ER = Emission rate in grams per KW-hour.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d</w:t>
      </w:r>
      <w:r w:rsidRPr="001B2F86">
        <w:rPr>
          <w:rFonts w:ascii="Arial" w:eastAsia="Times New Roman" w:hAnsi="Arial" w:cs="Arial"/>
          <w:sz w:val="20"/>
          <w:szCs w:val="20"/>
        </w:rPr>
        <w:t>= Measured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concentration in ppm.</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1.912x10</w:t>
      </w:r>
      <w:r w:rsidRPr="001B2F86">
        <w:rPr>
          <w:rFonts w:ascii="Arial" w:eastAsia="Times New Roman" w:hAnsi="Arial" w:cs="Arial"/>
          <w:sz w:val="20"/>
          <w:szCs w:val="20"/>
          <w:vertAlign w:val="superscript"/>
        </w:rPr>
        <w:t>−3</w:t>
      </w:r>
      <w:r w:rsidRPr="001B2F86">
        <w:rPr>
          <w:rFonts w:ascii="Arial" w:eastAsia="Times New Roman" w:hAnsi="Arial" w:cs="Arial"/>
          <w:sz w:val="20"/>
          <w:szCs w:val="20"/>
        </w:rPr>
        <w:t>= Conversion constant for ppm NO</w:t>
      </w:r>
      <w:r w:rsidRPr="001B2F86">
        <w:rPr>
          <w:rFonts w:ascii="Arial" w:eastAsia="Times New Roman" w:hAnsi="Arial" w:cs="Arial"/>
          <w:sz w:val="20"/>
          <w:szCs w:val="20"/>
          <w:vertAlign w:val="subscript"/>
        </w:rPr>
        <w:t>X</w:t>
      </w:r>
      <w:r w:rsidRPr="001B2F86">
        <w:rPr>
          <w:rFonts w:ascii="Arial" w:eastAsia="Times New Roman" w:hAnsi="Arial" w:cs="Arial"/>
          <w:sz w:val="20"/>
          <w:szCs w:val="20"/>
        </w:rPr>
        <w:t>to grams per standard cubic meter at 25 degrees Celsius.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Q = Stack gas volumetric flow rate, in standard cubic meter per 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T = Time of test run, in hours.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KW-hour = Brake work of the engine, in KW-hour.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(f) To determine compliance with the PM mass per unit output emission limitation, convert the concentration of PM in the engine exhaust using Equation 8 of this section:</w:t>
      </w:r>
    </w:p>
    <w:p w:rsidR="001B2F86" w:rsidRPr="001B2F86" w:rsidRDefault="001B2F86" w:rsidP="001B2F86">
      <w:pPr>
        <w:spacing w:after="240" w:line="240" w:lineRule="auto"/>
        <w:ind w:left="-450" w:right="-540"/>
        <w:rPr>
          <w:rFonts w:ascii="Arial" w:eastAsia="Times New Roman" w:hAnsi="Arial" w:cs="Arial"/>
          <w:sz w:val="18"/>
        </w:rPr>
      </w:pPr>
      <w:r>
        <w:rPr>
          <w:rFonts w:ascii="Arial" w:eastAsia="Times New Roman" w:hAnsi="Arial" w:cs="Arial"/>
          <w:noProof/>
          <w:sz w:val="18"/>
          <w:szCs w:val="18"/>
        </w:rPr>
        <w:drawing>
          <wp:inline distT="0" distB="0" distL="0" distR="0">
            <wp:extent cx="1714500" cy="361950"/>
            <wp:effectExtent l="19050" t="0" r="0" b="0"/>
            <wp:docPr id="8" name="Picture 8" descr="http://www.access.gpo.gov/ecfr/graphics/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11jy06.007.gif"/>
                    <pic:cNvPicPr>
                      <a:picLocks noChangeAspect="1" noChangeArrowheads="1"/>
                    </pic:cNvPicPr>
                  </pic:nvPicPr>
                  <pic:blipFill>
                    <a:blip r:embed="rId11" cstate="print"/>
                    <a:srcRect/>
                    <a:stretch>
                      <a:fillRect/>
                    </a:stretch>
                  </pic:blipFill>
                  <pic:spPr bwMode="auto">
                    <a:xfrm>
                      <a:off x="0" y="0"/>
                      <a:ext cx="1714500" cy="361950"/>
                    </a:xfrm>
                    <a:prstGeom prst="rect">
                      <a:avLst/>
                    </a:prstGeom>
                    <a:noFill/>
                    <a:ln w="9525">
                      <a:noFill/>
                      <a:miter lim="800000"/>
                      <a:headEnd/>
                      <a:tailEnd/>
                    </a:ln>
                  </pic:spPr>
                </pic:pic>
              </a:graphicData>
            </a:graphic>
          </wp:inline>
        </w:drawing>
      </w:r>
    </w:p>
    <w:p w:rsidR="001B2F86" w:rsidRPr="001B2F86" w:rsidRDefault="001B2F86" w:rsidP="001B2F86">
      <w:pPr>
        <w:spacing w:before="100" w:beforeAutospacing="1" w:after="100" w:afterAutospacing="1" w:line="240" w:lineRule="auto"/>
        <w:ind w:left="-450" w:right="-540"/>
        <w:rPr>
          <w:rFonts w:eastAsia="Times New Roman"/>
          <w:sz w:val="20"/>
          <w:szCs w:val="20"/>
        </w:rPr>
      </w:pPr>
      <w:r w:rsidRPr="001B2F86">
        <w:rPr>
          <w:rFonts w:ascii="Arial" w:eastAsia="Times New Roman" w:hAnsi="Arial" w:cs="Arial"/>
          <w:sz w:val="20"/>
          <w:szCs w:val="20"/>
        </w:rPr>
        <w:t>Where: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ER = Emission rate in grams per KW-hour.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C</w:t>
      </w:r>
      <w:r w:rsidRPr="001B2F86">
        <w:rPr>
          <w:rFonts w:ascii="Arial" w:eastAsia="Times New Roman" w:hAnsi="Arial" w:cs="Arial"/>
          <w:sz w:val="20"/>
          <w:szCs w:val="20"/>
          <w:vertAlign w:val="subscript"/>
        </w:rPr>
        <w:t>adj</w:t>
      </w:r>
      <w:r w:rsidRPr="001B2F86">
        <w:rPr>
          <w:rFonts w:ascii="Arial" w:eastAsia="Times New Roman" w:hAnsi="Arial" w:cs="Arial"/>
          <w:sz w:val="20"/>
          <w:szCs w:val="20"/>
        </w:rPr>
        <w:t>= Calculated PM concentration in grams per standard cubic meter.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Q = Stack gas volumetric flow rate, in standard cubic meter per hour.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T = Time of test run, in hours.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20"/>
          <w:szCs w:val="20"/>
        </w:rPr>
      </w:pPr>
      <w:r w:rsidRPr="001B2F86">
        <w:rPr>
          <w:rFonts w:ascii="Arial" w:eastAsia="Times New Roman" w:hAnsi="Arial" w:cs="Arial"/>
          <w:sz w:val="20"/>
          <w:szCs w:val="20"/>
        </w:rPr>
        <w:t>KW-hour = Energy output of the engine, in KW.</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Notification, Reports, and Records for Owners and Operators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60.4214   What are my notification, reporting, and recordkeeping requirements if I am an owner or operator of a stationary CI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Submit an initial notification as required in §60.7(a)(1). The notification must include the information in paragraphs (a)(1)(i) through (v)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Name and address of the owner or operator;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The address of the affected source;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(iii) Engine information including make, model, engine family, serial number, model year, maximum engine power, and engine displacement;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(iv) Emission control equipment; and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(v) Fuel used.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Keep records of the information in paragraphs (a)(2)(i) through (iv) of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 All notifications submitted to comply with this subpart and all documentation supporting any notification.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 Maintenance conducted on the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(iii) If the stationary CI internal combustion is a certified engine, documentation from the manufacturer that the engine is certified to meet the emission standards.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(iv) If the stationary CI internal combustion is not a certified engine, documentation that the engine meets the emission standards.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Special Requirements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60.4215   What requirements must I meet for engines used in Guam, American Samoa, or the Commonwealth of the Northern Mariana Islands?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Stationary CI ICE that are used in Guam, American Samoa, or the Commonwealth of the Northern Mariana Islands are required to meet the applicable emission standards in §60.4205. Non-emergency stationary CI ICE with a displacement of greater than or equal to 30 liters per cylinder, must meet the applicable emission standards in §60.4204(c).</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Stationary CI ICE that are used in Guam, American Samoa, or the Commonwealth of the Northern Mariana Islands are not required to meet the fuel requirements in §60.4207.</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60.4216   What requirements must I meet for engines used in Alaska?</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Prior to December 1, 2010, owners and operators of stationary CI engines located in areas of Alaska not accessible by the Federal Aid Highway System should refer to 40 CFR part 69 to determine the diesel fuel requirements applicable to such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The Governor of Alaska may submit for EPA approval, by no later than January 11, 2008, an alternative plan for implementing the requirements of 40 CFR part 60, subpart IIII, for public-sector electrical utilities located in rural areas of Alaska not accessible by the Federal Aid Highway System. 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CFR part 60, subpart IIII. If EPA approves by rulemaking process an alternative plan, the provisions as approved by EPA under that plan shall apply to the diesel engines used in new stationary internal combustion engines subject to this paragraph.</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60.4217   What emission standards must I meet if I am an owner or operator of a stationary internal combustion engine using special fuels?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 Owners and operators of stationary CI ICE that do not use diesel fuel, or who have been given authority by the Administrator under §60.4207(d) of this subpart to use fuels that do not meet the fuel requirements of 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(b) [Reserved]</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General Provisions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60.4218   What parts of the General Provisions apply to me?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Table 8 to this subpart shows which parts of the General Provisions in §§60.1 through 60.19 apply to you.</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Definitions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 60.4219   What definitions apply to this subpart?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As used in this subpart, all terms not defined herein shall have the meaning given them in the CAA and in subpart A of this part.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Combustion turbine </w:t>
      </w:r>
      <w:r w:rsidRPr="001B2F86">
        <w:rPr>
          <w:rFonts w:ascii="Arial" w:eastAsia="Times New Roman" w:hAnsi="Arial" w:cs="Arial"/>
          <w:sz w:val="18"/>
          <w:szCs w:val="18"/>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Compression ignition </w:t>
      </w:r>
      <w:r w:rsidRPr="001B2F86">
        <w:rPr>
          <w:rFonts w:ascii="Arial" w:eastAsia="Times New Roman" w:hAnsi="Arial" w:cs="Arial"/>
          <w:sz w:val="18"/>
          <w:szCs w:val="18"/>
        </w:rPr>
        <w:t>means relating to a type of stationary internal combustion engine that is not a spark ignition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Diesel fuel </w:t>
      </w:r>
      <w:r w:rsidRPr="001B2F86">
        <w:rPr>
          <w:rFonts w:ascii="Arial" w:eastAsia="Times New Roman" w:hAnsi="Arial" w:cs="Arial"/>
          <w:sz w:val="18"/>
          <w:szCs w:val="18"/>
        </w:rPr>
        <w:t>means any liquid obtained from the distillation of petroleum with a boiling point of approximately 150 to 360 degrees Celsius. One commonly used form is number 2 distillate oil.</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Diesel particulate filter </w:t>
      </w:r>
      <w:r w:rsidRPr="001B2F86">
        <w:rPr>
          <w:rFonts w:ascii="Arial" w:eastAsia="Times New Roman" w:hAnsi="Arial" w:cs="Arial"/>
          <w:sz w:val="18"/>
          <w:szCs w:val="18"/>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Emergency stationary internal combustion engine </w:t>
      </w:r>
      <w:r w:rsidRPr="001B2F86">
        <w:rPr>
          <w:rFonts w:ascii="Arial" w:eastAsia="Times New Roman" w:hAnsi="Arial" w:cs="Arial"/>
          <w:sz w:val="18"/>
          <w:szCs w:val="18"/>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Engine manufacturer </w:t>
      </w:r>
      <w:r w:rsidRPr="001B2F86">
        <w:rPr>
          <w:rFonts w:ascii="Arial" w:eastAsia="Times New Roman" w:hAnsi="Arial" w:cs="Arial"/>
          <w:sz w:val="18"/>
          <w:szCs w:val="18"/>
        </w:rPr>
        <w:t>means the manufacturer of the engine. See the definition of “manufacturer” in this section.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Fire pump engine </w:t>
      </w:r>
      <w:r w:rsidRPr="001B2F86">
        <w:rPr>
          <w:rFonts w:ascii="Arial" w:eastAsia="Times New Roman" w:hAnsi="Arial" w:cs="Arial"/>
          <w:sz w:val="18"/>
          <w:szCs w:val="18"/>
        </w:rPr>
        <w:t>means an emergency stationary internal combustion engine certified to NFPA requirements that is used to provide power to pump water for fire suppression or protection.</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Manufacturer </w:t>
      </w:r>
      <w:r w:rsidRPr="001B2F86">
        <w:rPr>
          <w:rFonts w:ascii="Arial" w:eastAsia="Times New Roman" w:hAnsi="Arial" w:cs="Arial"/>
          <w:sz w:val="18"/>
          <w:szCs w:val="18"/>
        </w:rPr>
        <w:t>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Maximum engine power </w:t>
      </w:r>
      <w:r w:rsidRPr="001B2F86">
        <w:rPr>
          <w:rFonts w:ascii="Arial" w:eastAsia="Times New Roman" w:hAnsi="Arial" w:cs="Arial"/>
          <w:sz w:val="18"/>
          <w:szCs w:val="18"/>
        </w:rPr>
        <w:t>means maximum engine power as defined in 40 CFR 1039.801.</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Model year </w:t>
      </w:r>
      <w:r w:rsidRPr="001B2F86">
        <w:rPr>
          <w:rFonts w:ascii="Arial" w:eastAsia="Times New Roman" w:hAnsi="Arial" w:cs="Arial"/>
          <w:sz w:val="18"/>
          <w:szCs w:val="18"/>
        </w:rPr>
        <w:t>means either: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(1) The calendar year in which the engine was originally produced, or</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rPr>
        <w:t>(2) 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nonroad or other non-stationary engine, model year means the calendar year or new model production period in which the engine was originally produced.</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Other internal combustion engine </w:t>
      </w:r>
      <w:r w:rsidRPr="001B2F86">
        <w:rPr>
          <w:rFonts w:ascii="Arial" w:eastAsia="Times New Roman" w:hAnsi="Arial" w:cs="Arial"/>
          <w:sz w:val="18"/>
          <w:szCs w:val="18"/>
        </w:rPr>
        <w:t>means any internal combustion engine, except combustion turbines, which is not a reciprocating internal combustion engine or rotary internal combustion engine.</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Reciprocating internal combustion engine </w:t>
      </w:r>
      <w:r w:rsidRPr="001B2F86">
        <w:rPr>
          <w:rFonts w:ascii="Arial" w:eastAsia="Times New Roman" w:hAnsi="Arial" w:cs="Arial"/>
          <w:sz w:val="18"/>
          <w:szCs w:val="18"/>
        </w:rPr>
        <w:t>means any internal combustion engine which uses reciprocating motion to convert heat energy into mechanical work.</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Rotary internal combustion engine </w:t>
      </w:r>
      <w:r w:rsidRPr="001B2F86">
        <w:rPr>
          <w:rFonts w:ascii="Arial" w:eastAsia="Times New Roman" w:hAnsi="Arial" w:cs="Arial"/>
          <w:sz w:val="18"/>
          <w:szCs w:val="18"/>
        </w:rPr>
        <w:t>means any internal combustion engine which uses rotary motion to convert heat energy into mechanical work.</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Spark ignition </w:t>
      </w:r>
      <w:r w:rsidRPr="001B2F86">
        <w:rPr>
          <w:rFonts w:ascii="Arial" w:eastAsia="Times New Roman" w:hAnsi="Arial" w:cs="Arial"/>
          <w:sz w:val="18"/>
          <w:szCs w:val="18"/>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Stationary internal combustion engine </w:t>
      </w:r>
      <w:r w:rsidRPr="001B2F86">
        <w:rPr>
          <w:rFonts w:ascii="Arial" w:eastAsia="Times New Roman" w:hAnsi="Arial" w:cs="Arial"/>
          <w:sz w:val="18"/>
          <w:szCs w:val="18"/>
        </w:rPr>
        <w:t>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or a vehicle used solely for competition. Stationary ICE include reciprocating ICE, rotary ICE, and other ICE, except combustion turbines.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Subpart </w:t>
      </w:r>
      <w:r w:rsidRPr="001B2F86">
        <w:rPr>
          <w:rFonts w:ascii="Arial" w:eastAsia="Times New Roman" w:hAnsi="Arial" w:cs="Arial"/>
          <w:sz w:val="18"/>
          <w:szCs w:val="18"/>
        </w:rPr>
        <w:t>means 40 CFR part 60, subpart IIII.</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i/>
          <w:iCs/>
          <w:sz w:val="18"/>
          <w:szCs w:val="18"/>
        </w:rPr>
        <w:t xml:space="preserve">Useful life </w:t>
      </w:r>
      <w:r w:rsidRPr="001B2F86">
        <w:rPr>
          <w:rFonts w:ascii="Arial" w:eastAsia="Times New Roman" w:hAnsi="Arial" w:cs="Arial"/>
          <w:sz w:val="18"/>
          <w:szCs w:val="18"/>
        </w:rPr>
        <w:t>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§§60.4201(b), 60.4202(b), 60.4204(a), and 60.4205(a), you must comply with the following emission standards]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94"/>
        <w:gridCol w:w="6001"/>
        <w:gridCol w:w="419"/>
        <w:gridCol w:w="419"/>
        <w:gridCol w:w="419"/>
        <w:gridCol w:w="1138"/>
      </w:tblGrid>
      <w:tr w:rsidR="001B2F86" w:rsidRPr="001B2F86" w:rsidTr="001B2F86">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Emission standards for stationary pre-2007 model year engines with a displacement of &lt;10 liters per cylinder and 2007–2010 model year engines &gt;2,237 KW (3,000 HP) and with a displacement of &lt;10 liters per cylinder in g/KW-hr (g/HP-hr)</w:t>
            </w:r>
          </w:p>
        </w:tc>
      </w:tr>
      <w:tr w:rsidR="001B2F86" w:rsidRPr="001B2F86" w:rsidTr="001B2F8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B2F86" w:rsidRPr="001B2F86" w:rsidRDefault="001B2F86" w:rsidP="001B2F86">
            <w:pPr>
              <w:spacing w:after="0" w:line="240" w:lineRule="auto"/>
              <w:ind w:left="-450" w:right="-540"/>
              <w:rPr>
                <w:rFonts w:eastAsia="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NMHC + NO</w:t>
            </w:r>
            <w:r w:rsidRPr="001B2F86">
              <w:rPr>
                <w:rFonts w:eastAsia="Times New Roman"/>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NO</w:t>
            </w:r>
            <w:r w:rsidRPr="001B2F86">
              <w:rPr>
                <w:rFonts w:eastAsia="Times New Roman"/>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PM</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8.0 (6.0)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 (0.75)</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9.5 (7.1)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6.6 (4.9)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9.5 (7.1)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5.5 (4.1)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1.3 (1.0)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11.4 (8.5)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1.3 (1.0)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11.4 (8.5)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1.3 (1.0)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11.4 (8.5)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1.3 (1.0)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9.2 (6.9)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11.4 (8.5)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bl>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2 to Subpart IIII of Part 60—Emission Standards for 2008 Model Year and Later Emergency Stationary CI ICE &lt;37 KW (50 HP) With a Displacement of &lt;10 Liters per Cylinder</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§60.4202(a)(1), you must comply with the following emission standards]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82"/>
        <w:gridCol w:w="3659"/>
        <w:gridCol w:w="3740"/>
        <w:gridCol w:w="298"/>
        <w:gridCol w:w="811"/>
      </w:tblGrid>
      <w:tr w:rsidR="001B2F86" w:rsidRPr="001B2F86" w:rsidTr="001B2F86">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Emission standards for 2008 model year and later emergency stationary CI ICE &lt;37 KW (50 HP) with a displacement of &lt;10 liters per cylinder in g/KW-hr (g/HP-hr)</w:t>
            </w:r>
          </w:p>
        </w:tc>
      </w:tr>
      <w:tr w:rsidR="001B2F86" w:rsidRPr="001B2F86" w:rsidTr="001B2F8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B2F86" w:rsidRPr="001B2F86" w:rsidRDefault="001B2F86" w:rsidP="001B2F86">
            <w:pPr>
              <w:spacing w:after="0" w:line="240" w:lineRule="auto"/>
              <w:ind w:left="-450" w:right="-540"/>
              <w:rPr>
                <w:rFonts w:eastAsia="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NO</w:t>
            </w:r>
            <w:r w:rsidRPr="001B2F86">
              <w:rPr>
                <w:rFonts w:eastAsia="Times New Roman"/>
                <w:b/>
                <w:bCs/>
                <w:vertAlign w:val="subscript"/>
              </w:rPr>
              <w:t>X</w:t>
            </w:r>
            <w:r w:rsidRPr="001B2F86">
              <w:rPr>
                <w:rFonts w:eastAsia="Times New Roman"/>
                <w:b/>
                <w:bCs/>
              </w:rPr>
              <w:t>+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PM</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2008+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 (5.6)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8.0 (6.0)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0.40 (0.30)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2008+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 (5.6)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6.6 (4.9)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0.40 (0.30)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2008+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 (5.6)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5.5 (4.1)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0.30 (0.22)</w:t>
            </w:r>
          </w:p>
        </w:tc>
      </w:tr>
    </w:tbl>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3 to Subpart IIII of Part 60—Certification Requirements for Stationary Fire Pump Engines</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§60.4202(d), you must certify new stationary fire pump engines beginning with the following model years:]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27"/>
        <w:gridCol w:w="7863"/>
      </w:tblGrid>
      <w:tr w:rsidR="001B2F86" w:rsidRPr="001B2F86" w:rsidTr="001B2F86">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Starting model year engine manufacturers must certify new stationary fire pump engines according to §60.4202(d)</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KW&lt;75 (HP&lt;100)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2011</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2010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130≤KW≤560 (175≤HP≤750)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2009</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2008</w:t>
            </w:r>
          </w:p>
        </w:tc>
      </w:tr>
    </w:tbl>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4 to Subpart IIII of Part 60—Emission Standards for Stationary Fire Pump Engines</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§§60.4202(d) and 60.4205(c), you must comply with the following emission standards for stationary fire pump engines]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678"/>
        <w:gridCol w:w="1755"/>
        <w:gridCol w:w="1559"/>
        <w:gridCol w:w="105"/>
        <w:gridCol w:w="293"/>
      </w:tblGrid>
      <w:tr w:rsidR="001B2F86" w:rsidRPr="001B2F86" w:rsidTr="001B2F86">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NMHC + NO</w:t>
            </w:r>
            <w:r w:rsidRPr="001B2F86">
              <w:rPr>
                <w:rFonts w:eastAsia="Times New Roman"/>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PM</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8.0 (6.0)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 (0.75)</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 (5.6)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0.40 (0.30)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9.5 (7.1)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6.6 (4.9)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 (5.6)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0.40 (0.30)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9.5 (7.1)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5.5 (4.1)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 (5.6)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0.30 (0.22)</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5.0 (3.7)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2011+</w:t>
            </w:r>
            <w:r w:rsidRPr="001B2F86">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4.7 (3.5)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0.40 (0.30)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5.0 (3.7)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2011+</w:t>
            </w:r>
            <w:r w:rsidRPr="001B2F86">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4.7 (3.5)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0.40 (0.30)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5.0 (3.7)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0.80 (0.60)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2010+</w:t>
            </w:r>
            <w:r w:rsidRPr="001B2F86">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4.0 (3.0)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0.30 (0.22)</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3.5 (2.6)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2009+</w:t>
            </w:r>
            <w:r w:rsidRPr="001B2F86">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4.0 (3.0)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0.20 (0.15)</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3.5 (2.6)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2009+</w:t>
            </w:r>
            <w:r w:rsidRPr="001B2F86">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4.0 (3.0)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0.20 (0.15)</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3.5 (2.6)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4.0 (3.0)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0.20 (0.15)</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10.5 (7.8)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3.5 (2.6)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0.54 (0.40)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2008+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6.4 (4.8)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0.20 (0.15)</w:t>
            </w:r>
          </w:p>
        </w:tc>
      </w:tr>
    </w:tbl>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vertAlign w:val="superscript"/>
        </w:rPr>
        <w:t>1</w:t>
      </w:r>
      <w:r w:rsidRPr="001B2F86">
        <w:rPr>
          <w:rFonts w:ascii="Arial" w:eastAsia="Times New Roman" w:hAnsi="Arial" w:cs="Arial"/>
          <w:sz w:val="18"/>
          <w:szCs w:val="18"/>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vertAlign w:val="superscript"/>
        </w:rPr>
        <w:t>2</w:t>
      </w:r>
      <w:r w:rsidRPr="001B2F86">
        <w:rPr>
          <w:rFonts w:ascii="Arial" w:eastAsia="Times New Roman" w:hAnsi="Arial" w:cs="Arial"/>
          <w:sz w:val="18"/>
          <w:szCs w:val="18"/>
        </w:rPr>
        <w:t>For model years 2010–2012, manufacturers, owners and operators of fire pump stationary CI ICE in this engine power category with a rated speed of greater than 2,650 rpm may comply with the emission limitations for 2009 model year engines.</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vertAlign w:val="superscript"/>
        </w:rPr>
        <w:t>3</w:t>
      </w:r>
      <w:r w:rsidRPr="001B2F86">
        <w:rPr>
          <w:rFonts w:ascii="Arial" w:eastAsia="Times New Roman" w:hAnsi="Arial" w:cs="Arial"/>
          <w:sz w:val="18"/>
          <w:szCs w:val="18"/>
        </w:rPr>
        <w:t>In model years 2009–2011, manufacturers of fire pump stationary CI ICE in this engine power category with a rated speed of greater than 2,650 rpm may comply with the emission limitations for 2008 model year engines.</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5 to Subpart IIII of Part 60—Labeling and Recordkeeping Requirements for New Stationary Emergency Engines</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[You must comply with the labeling requirements in §60.4210(f) and the recordkeeping requirements in §60.4214(b) for new emergency stationary CI ICE beginning in the following model years:]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743"/>
        <w:gridCol w:w="3647"/>
      </w:tblGrid>
      <w:tr w:rsidR="001B2F86" w:rsidRPr="001B2F86" w:rsidTr="001B2F86">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Starting model year</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2013</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2012</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2011</w:t>
            </w:r>
          </w:p>
        </w:tc>
      </w:tr>
    </w:tbl>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6 to Subpart IIII of Part 60—Optional 3-Mode Test Cycle for Stationary Fire Pump Engines</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§60.4210(g), manufacturers of fire pump engines may use the following test cycle for testing fire pump engines:]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57"/>
        <w:gridCol w:w="6604"/>
        <w:gridCol w:w="738"/>
        <w:gridCol w:w="1491"/>
      </w:tblGrid>
      <w:tr w:rsidR="001B2F86" w:rsidRPr="001B2F86" w:rsidTr="001B2F86">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Engine speed</w:t>
            </w:r>
            <w:r w:rsidRPr="001B2F86">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Torque</w:t>
            </w:r>
            <w:r w:rsidRPr="001B2F86">
              <w:rPr>
                <w:rFonts w:eastAsia="Times New Roman"/>
                <w:b/>
                <w:bCs/>
              </w:rPr>
              <w:br/>
              <w:t>(percent)</w:t>
            </w:r>
            <w:r w:rsidRPr="001B2F86">
              <w:rPr>
                <w:rFonts w:eastAsia="Times New Roman"/>
                <w:b/>
                <w:bCs/>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Weighting</w:t>
            </w:r>
            <w:r w:rsidRPr="001B2F86">
              <w:rPr>
                <w:rFonts w:eastAsia="Times New Roman"/>
                <w:b/>
                <w:bCs/>
              </w:rPr>
              <w:br/>
              <w:t>factors</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Rated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100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0.30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Rated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75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0.50</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Rated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50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jc w:val="right"/>
              <w:rPr>
                <w:rFonts w:eastAsia="Times New Roman"/>
              </w:rPr>
            </w:pPr>
            <w:r w:rsidRPr="001B2F86">
              <w:rPr>
                <w:rFonts w:eastAsia="Times New Roman"/>
              </w:rPr>
              <w:t>0.20</w:t>
            </w:r>
          </w:p>
        </w:tc>
      </w:tr>
    </w:tbl>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vertAlign w:val="superscript"/>
        </w:rPr>
        <w:t>1</w:t>
      </w:r>
      <w:r w:rsidRPr="001B2F86">
        <w:rPr>
          <w:rFonts w:ascii="Arial" w:eastAsia="Times New Roman" w:hAnsi="Arial" w:cs="Arial"/>
          <w:sz w:val="18"/>
          <w:szCs w:val="18"/>
        </w:rPr>
        <w:t>Engine speed: ±2 percent of point.</w:t>
      </w:r>
    </w:p>
    <w:p w:rsidR="001B2F86" w:rsidRPr="001B2F86" w:rsidRDefault="001B2F86" w:rsidP="001B2F86">
      <w:pPr>
        <w:spacing w:before="100" w:beforeAutospacing="1" w:after="100" w:afterAutospacing="1" w:line="240" w:lineRule="auto"/>
        <w:ind w:left="-450" w:right="-540"/>
        <w:rPr>
          <w:rFonts w:ascii="Arial" w:eastAsia="Times New Roman" w:hAnsi="Arial" w:cs="Arial"/>
          <w:sz w:val="18"/>
          <w:szCs w:val="18"/>
        </w:rPr>
      </w:pPr>
      <w:r w:rsidRPr="001B2F86">
        <w:rPr>
          <w:rFonts w:ascii="Arial" w:eastAsia="Times New Roman" w:hAnsi="Arial" w:cs="Arial"/>
          <w:sz w:val="18"/>
          <w:szCs w:val="18"/>
          <w:vertAlign w:val="superscript"/>
        </w:rPr>
        <w:t>2</w:t>
      </w:r>
      <w:r w:rsidRPr="001B2F86">
        <w:rPr>
          <w:rFonts w:ascii="Arial" w:eastAsia="Times New Roman" w:hAnsi="Arial" w:cs="Arial"/>
          <w:sz w:val="18"/>
          <w:szCs w:val="18"/>
        </w:rPr>
        <w:t>Torque: NFPA certified nameplate HP for 100 percent point. All points should be ±2 percent of engine percent load value.</w:t>
      </w:r>
    </w:p>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7 to Subpart IIII of Part 60—Requirements for Performance Tests for Stationary CI ICE With a Displacement of ≥30 Liters per Cylinder</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§60.4213, you must comply with the following requirements for performance tests for stationary CI ICE with a displacement of ≥30 liters per cylinder:]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12"/>
        <w:gridCol w:w="1437"/>
        <w:gridCol w:w="2091"/>
        <w:gridCol w:w="2175"/>
        <w:gridCol w:w="2375"/>
      </w:tblGrid>
      <w:tr w:rsidR="001B2F86" w:rsidRPr="001B2F86" w:rsidTr="001B2F86">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Complying with the</w:t>
            </w:r>
            <w:r w:rsidRPr="001B2F86">
              <w:rPr>
                <w:rFonts w:eastAsia="Times New Roman"/>
                <w:b/>
                <w:bCs/>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According to the following requirements</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 Stationary CI internal combustion engine with a displacement of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 Reduce NO</w:t>
            </w:r>
            <w:r w:rsidRPr="001B2F86">
              <w:rPr>
                <w:rFonts w:eastAsia="Times New Roman"/>
                <w:vertAlign w:val="subscript"/>
              </w:rPr>
              <w:t>X</w:t>
            </w:r>
            <w:r w:rsidRPr="001B2F86">
              <w:rPr>
                <w:rFonts w:eastAsia="Times New Roman"/>
              </w:rPr>
              <w:t>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 Sampling sites must be located at the inlet and outlet of the control device.</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 Measure O</w:t>
            </w:r>
            <w:r w:rsidRPr="001B2F86">
              <w:rPr>
                <w:rFonts w:eastAsia="Times New Roman"/>
                <w:vertAlign w:val="subscript"/>
              </w:rPr>
              <w:t>2</w:t>
            </w:r>
            <w:r w:rsidRPr="001B2F86">
              <w:rPr>
                <w:rFonts w:eastAsia="Times New Roman"/>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(b) Measurements to determine O</w:t>
            </w:r>
            <w:r w:rsidRPr="001B2F86">
              <w:rPr>
                <w:rFonts w:eastAsia="Times New Roman"/>
                <w:vertAlign w:val="subscript"/>
              </w:rPr>
              <w:t>2</w:t>
            </w:r>
            <w:r w:rsidRPr="001B2F86">
              <w:rPr>
                <w:rFonts w:eastAsia="Times New Roman"/>
              </w:rPr>
              <w:t>concentration must be made at the same time as the measurements for NO</w:t>
            </w:r>
            <w:r w:rsidRPr="001B2F86">
              <w:rPr>
                <w:rFonts w:eastAsia="Times New Roman"/>
                <w:vertAlign w:val="subscript"/>
              </w:rPr>
              <w:t>X</w:t>
            </w:r>
            <w:r w:rsidRPr="001B2F86">
              <w:rPr>
                <w:rFonts w:eastAsia="Times New Roman"/>
              </w:rPr>
              <w:t>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 Measurements to determine moisture content must be made at the same time as the measurements for NO</w:t>
            </w:r>
            <w:r w:rsidRPr="001B2F86">
              <w:rPr>
                <w:rFonts w:eastAsia="Times New Roman"/>
                <w:vertAlign w:val="subscript"/>
              </w:rPr>
              <w:t>X</w:t>
            </w:r>
            <w:r w:rsidRPr="001B2F86">
              <w:rPr>
                <w:rFonts w:eastAsia="Times New Roman"/>
              </w:rPr>
              <w:t>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iv. Measure NO</w:t>
            </w:r>
            <w:r w:rsidRPr="001B2F86">
              <w:rPr>
                <w:rFonts w:eastAsia="Times New Roman"/>
                <w:vertAlign w:val="subscript"/>
              </w:rPr>
              <w:t>X</w:t>
            </w:r>
            <w:r w:rsidRPr="001B2F86">
              <w:rPr>
                <w:rFonts w:eastAsia="Times New Roman"/>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(4) Method 7E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 NO</w:t>
            </w:r>
            <w:r w:rsidRPr="001B2F86">
              <w:rPr>
                <w:rFonts w:eastAsia="Times New Roman"/>
                <w:vertAlign w:val="subscript"/>
              </w:rPr>
              <w:t>X</w:t>
            </w:r>
            <w:r w:rsidRPr="001B2F86">
              <w:rPr>
                <w:rFonts w:eastAsia="Times New Roman"/>
              </w:rPr>
              <w:t>concentration must be at 15 percent O</w:t>
            </w:r>
            <w:r w:rsidRPr="001B2F86">
              <w:rPr>
                <w:rFonts w:eastAsia="Times New Roman"/>
                <w:vertAlign w:val="subscript"/>
              </w:rPr>
              <w:t>2</w:t>
            </w:r>
            <w:r w:rsidRPr="001B2F86">
              <w:rPr>
                <w:rFonts w:eastAsia="Times New Roman"/>
              </w:rPr>
              <w:t>, dry basis. Results of this test consist of the average of the three 1-hour or longer runs.</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b. Limit the concentration of NO</w:t>
            </w:r>
            <w:r w:rsidRPr="001B2F86">
              <w:rPr>
                <w:rFonts w:eastAsia="Times New Roman"/>
                <w:vertAlign w:val="subscript"/>
              </w:rPr>
              <w:t>X</w:t>
            </w:r>
            <w:r w:rsidRPr="001B2F86">
              <w:rPr>
                <w:rFonts w:eastAsia="Times New Roman"/>
              </w:rPr>
              <w:t>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 If using a control device, the sampling site must be located at the outlet of the control device.</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 Determine the O</w:t>
            </w:r>
            <w:r w:rsidRPr="001B2F86">
              <w:rPr>
                <w:rFonts w:eastAsia="Times New Roman"/>
                <w:vertAlign w:val="subscript"/>
              </w:rPr>
              <w:t>2</w:t>
            </w:r>
            <w:r w:rsidRPr="001B2F86">
              <w:rPr>
                <w:rFonts w:eastAsia="Times New Roman"/>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(b) Measurements to determine O</w:t>
            </w:r>
            <w:r w:rsidRPr="001B2F86">
              <w:rPr>
                <w:rFonts w:eastAsia="Times New Roman"/>
                <w:vertAlign w:val="subscript"/>
              </w:rPr>
              <w:t>2</w:t>
            </w:r>
            <w:r w:rsidRPr="001B2F86">
              <w:rPr>
                <w:rFonts w:eastAsia="Times New Roman"/>
              </w:rPr>
              <w:t>concentration must be made at the same time as the measurement for NO</w:t>
            </w:r>
            <w:r w:rsidRPr="001B2F86">
              <w:rPr>
                <w:rFonts w:eastAsia="Times New Roman"/>
                <w:vertAlign w:val="subscript"/>
              </w:rPr>
              <w:t>X</w:t>
            </w:r>
            <w:r w:rsidRPr="001B2F86">
              <w:rPr>
                <w:rFonts w:eastAsia="Times New Roman"/>
              </w:rPr>
              <w:t>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 Measurements to determine moisture content must be made at the same time as the measurement for NO</w:t>
            </w:r>
            <w:r w:rsidRPr="001B2F86">
              <w:rPr>
                <w:rFonts w:eastAsia="Times New Roman"/>
                <w:vertAlign w:val="subscript"/>
              </w:rPr>
              <w:t>X</w:t>
            </w:r>
            <w:r w:rsidRPr="001B2F86">
              <w:rPr>
                <w:rFonts w:eastAsia="Times New Roman"/>
              </w:rPr>
              <w:t>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iv. Measure NO</w:t>
            </w:r>
            <w:r w:rsidRPr="001B2F86">
              <w:rPr>
                <w:rFonts w:eastAsia="Times New Roman"/>
                <w:vertAlign w:val="subscript"/>
              </w:rPr>
              <w:t>X</w:t>
            </w:r>
            <w:r w:rsidRPr="001B2F86">
              <w:rPr>
                <w:rFonts w:eastAsia="Times New Roman"/>
              </w:rPr>
              <w:t>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(4) Method 7E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 NO</w:t>
            </w:r>
            <w:r w:rsidRPr="001B2F86">
              <w:rPr>
                <w:rFonts w:eastAsia="Times New Roman"/>
                <w:vertAlign w:val="subscript"/>
              </w:rPr>
              <w:t>X</w:t>
            </w:r>
            <w:r w:rsidRPr="001B2F86">
              <w:rPr>
                <w:rFonts w:eastAsia="Times New Roman"/>
              </w:rPr>
              <w:t>concentration must be at 15 percent O</w:t>
            </w:r>
            <w:r w:rsidRPr="001B2F86">
              <w:rPr>
                <w:rFonts w:eastAsia="Times New Roman"/>
                <w:vertAlign w:val="subscript"/>
              </w:rPr>
              <w:t>2</w:t>
            </w:r>
            <w:r w:rsidRPr="001B2F86">
              <w:rPr>
                <w:rFonts w:eastAsia="Times New Roman"/>
              </w:rPr>
              <w:t>, dry basis. Results of this test consist of the average of the three 1-hour or longer runs.</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 Sampling sites must be located at the inlet and outlet of the control device.</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 Measure O</w:t>
            </w:r>
            <w:r w:rsidRPr="001B2F86">
              <w:rPr>
                <w:rFonts w:eastAsia="Times New Roman"/>
                <w:vertAlign w:val="subscript"/>
              </w:rPr>
              <w:t>2</w:t>
            </w:r>
            <w:r w:rsidRPr="001B2F86">
              <w:rPr>
                <w:rFonts w:eastAsia="Times New Roman"/>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(b) Measurements to determine O</w:t>
            </w:r>
            <w:r w:rsidRPr="001B2F86">
              <w:rPr>
                <w:rFonts w:eastAsia="Times New Roman"/>
                <w:vertAlign w:val="subscript"/>
              </w:rPr>
              <w:t>2</w:t>
            </w:r>
            <w:r w:rsidRPr="001B2F86">
              <w:rPr>
                <w:rFonts w:eastAsia="Times New Roman"/>
              </w:rPr>
              <w:t>concentration must be made at the same time as the measurements for PM 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 Measurements to determine and moisture content must be made at the same time as the measurements for PM 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 PM concentration must be at 15 percent O</w:t>
            </w:r>
            <w:r w:rsidRPr="001B2F86">
              <w:rPr>
                <w:rFonts w:eastAsia="Times New Roman"/>
                <w:vertAlign w:val="subscript"/>
              </w:rPr>
              <w:t>2</w:t>
            </w:r>
            <w:r w:rsidRPr="001B2F86">
              <w:rPr>
                <w:rFonts w:eastAsia="Times New Roman"/>
              </w:rPr>
              <w:t>, dry basis. Results of this test consist of the average of the three 1-hour or longer runs.</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 If using a control device, the sampling site must be located at the outlet of the control device.</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 Determine the O</w:t>
            </w:r>
            <w:r w:rsidRPr="001B2F86">
              <w:rPr>
                <w:rFonts w:eastAsia="Times New Roman"/>
                <w:vertAlign w:val="subscript"/>
              </w:rPr>
              <w:t>2</w:t>
            </w:r>
            <w:r w:rsidRPr="001B2F86">
              <w:rPr>
                <w:rFonts w:eastAsia="Times New Roman"/>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(b) Measurements to determine O</w:t>
            </w:r>
            <w:r w:rsidRPr="001B2F86">
              <w:rPr>
                <w:rFonts w:eastAsia="Times New Roman"/>
                <w:vertAlign w:val="subscript"/>
              </w:rPr>
              <w:t>2</w:t>
            </w:r>
            <w:r w:rsidRPr="001B2F86">
              <w:rPr>
                <w:rFonts w:eastAsia="Times New Roman"/>
              </w:rPr>
              <w:t>concentration must be made at the same time as the measurements for PM 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 Measurements to determine moisture content must be made at the same time as the measurements for PM concentration.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 PM concentration must be at 15 percent O</w:t>
            </w:r>
            <w:r w:rsidRPr="001B2F86">
              <w:rPr>
                <w:rFonts w:eastAsia="Times New Roman"/>
                <w:vertAlign w:val="subscript"/>
              </w:rPr>
              <w:t>2</w:t>
            </w:r>
            <w:r w:rsidRPr="001B2F86">
              <w:rPr>
                <w:rFonts w:eastAsia="Times New Roman"/>
              </w:rPr>
              <w:t>, dry basis. Results of this test consist of the average of the three 1-hour or longer runs.</w:t>
            </w:r>
          </w:p>
        </w:tc>
      </w:tr>
    </w:tbl>
    <w:p w:rsidR="001B2F86" w:rsidRPr="001B2F86" w:rsidRDefault="001B2F86" w:rsidP="001B2F86">
      <w:pPr>
        <w:spacing w:before="100" w:beforeAutospacing="1" w:after="100" w:afterAutospacing="1" w:line="240" w:lineRule="auto"/>
        <w:ind w:left="-450" w:right="-540"/>
        <w:outlineLvl w:val="4"/>
        <w:rPr>
          <w:rFonts w:ascii="Arial" w:eastAsia="Times New Roman" w:hAnsi="Arial" w:cs="Arial"/>
          <w:b/>
          <w:bCs/>
          <w:sz w:val="20"/>
          <w:szCs w:val="20"/>
        </w:rPr>
      </w:pPr>
      <w:r w:rsidRPr="001B2F86">
        <w:rPr>
          <w:rFonts w:ascii="Arial" w:eastAsia="Times New Roman" w:hAnsi="Arial" w:cs="Arial"/>
          <w:b/>
          <w:bCs/>
          <w:sz w:val="20"/>
          <w:szCs w:val="20"/>
        </w:rPr>
        <w:t>Table 8 to Subpart IIII of Part 60—Applicability of General Provisions to Subpart IIII</w:t>
      </w:r>
    </w:p>
    <w:p w:rsidR="001B2F86" w:rsidRPr="001B2F86" w:rsidRDefault="001B2F86" w:rsidP="001B2F86">
      <w:pPr>
        <w:spacing w:before="100" w:beforeAutospacing="1" w:after="100" w:afterAutospacing="1" w:line="240" w:lineRule="auto"/>
        <w:ind w:left="-450" w:right="-540"/>
        <w:jc w:val="center"/>
        <w:rPr>
          <w:rFonts w:ascii="Arial" w:eastAsia="Times New Roman" w:hAnsi="Arial" w:cs="Arial"/>
          <w:sz w:val="18"/>
          <w:szCs w:val="18"/>
        </w:rPr>
      </w:pPr>
      <w:r w:rsidRPr="001B2F86">
        <w:rPr>
          <w:rFonts w:ascii="Arial" w:eastAsia="Times New Roman" w:hAnsi="Arial" w:cs="Arial"/>
          <w:sz w:val="18"/>
          <w:szCs w:val="18"/>
        </w:rPr>
        <w:t>[As stated in §60.4218,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60"/>
        <w:gridCol w:w="2618"/>
        <w:gridCol w:w="36"/>
        <w:gridCol w:w="6176"/>
      </w:tblGrid>
      <w:tr w:rsidR="001B2F86" w:rsidRPr="001B2F86" w:rsidTr="001B2F86">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General Provisions</w:t>
            </w:r>
            <w:r w:rsidRPr="001B2F86">
              <w:rPr>
                <w:rFonts w:eastAsia="Times New Roman"/>
                <w:b/>
                <w:bCs/>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Applies</w:t>
            </w:r>
            <w:r w:rsidRPr="001B2F86">
              <w:rPr>
                <w:rFonts w:eastAsia="Times New Roman"/>
                <w:b/>
                <w:bCs/>
              </w:rPr>
              <w:br/>
              <w:t>to</w:t>
            </w:r>
            <w:r w:rsidRPr="001B2F86">
              <w:rPr>
                <w:rFonts w:eastAsia="Times New Roman"/>
                <w:b/>
                <w:bCs/>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B2F86" w:rsidRPr="001B2F86" w:rsidRDefault="001B2F86" w:rsidP="001B2F86">
            <w:pPr>
              <w:spacing w:after="0" w:line="240" w:lineRule="auto"/>
              <w:ind w:left="-450" w:right="-540"/>
              <w:jc w:val="center"/>
              <w:rPr>
                <w:rFonts w:eastAsia="Times New Roman"/>
                <w:b/>
                <w:bCs/>
              </w:rPr>
            </w:pPr>
            <w:r w:rsidRPr="001B2F86">
              <w:rPr>
                <w:rFonts w:eastAsia="Times New Roman"/>
                <w:b/>
                <w:bCs/>
              </w:rPr>
              <w:t>Explanation</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§60.2</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Additional terms defined in §60.4219.</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§60.3</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§60.4</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Except that §60.7 only applies as specified in §60.4214(a).</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Except that §60.8 only applies to stationary CI ICE with a displacement of (≥30 liters per cylinder and engines that are not certified.</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§60.10</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§60.11</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Requirements are specified in subpart IIII.</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§60.12</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§60.13</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Except that §60.13 only applies to stationary CI ICE with a displacement of (≥30 liters per cylinder.</w:t>
            </w: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§60.14</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§60.15</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§60.16</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§60.17</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§60.18</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r w:rsidR="001B2F86" w:rsidRPr="001B2F86" w:rsidTr="001B2F86">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§60.19</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r w:rsidRPr="001B2F86">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1B2F86" w:rsidRPr="001B2F86" w:rsidRDefault="001B2F86" w:rsidP="001B2F86">
            <w:pPr>
              <w:spacing w:after="0" w:line="240" w:lineRule="auto"/>
              <w:ind w:left="-450" w:right="-540"/>
              <w:rPr>
                <w:rFonts w:eastAsia="Times New Roman"/>
              </w:rPr>
            </w:pPr>
          </w:p>
        </w:tc>
      </w:tr>
    </w:tbl>
    <w:p w:rsidR="00C07E2C" w:rsidRDefault="00C07E2C" w:rsidP="001B2F86">
      <w:pPr>
        <w:spacing w:after="0"/>
        <w:ind w:left="-450" w:right="-540"/>
      </w:pPr>
    </w:p>
    <w:sectPr w:rsidR="00C07E2C" w:rsidSect="001B2F86">
      <w:pgSz w:w="12240" w:h="15840"/>
      <w:pgMar w:top="864"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1B2F86"/>
    <w:rsid w:val="001B2F86"/>
    <w:rsid w:val="003A70F8"/>
    <w:rsid w:val="003C6F8D"/>
    <w:rsid w:val="006F4AA5"/>
    <w:rsid w:val="00724C86"/>
    <w:rsid w:val="0073608B"/>
    <w:rsid w:val="008D0E25"/>
    <w:rsid w:val="008E0772"/>
    <w:rsid w:val="00A31222"/>
    <w:rsid w:val="00A31530"/>
    <w:rsid w:val="00A86494"/>
    <w:rsid w:val="00C07E2C"/>
    <w:rsid w:val="00C644C8"/>
    <w:rsid w:val="00E931FC"/>
    <w:rsid w:val="00ED275E"/>
    <w:rsid w:val="00F103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1B2F86"/>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B2F86"/>
    <w:rPr>
      <w:rFonts w:eastAsia="Times New Roman"/>
      <w:b/>
      <w:bCs/>
      <w:sz w:val="20"/>
      <w:szCs w:val="20"/>
    </w:rPr>
  </w:style>
  <w:style w:type="character" w:styleId="Hyperlink">
    <w:name w:val="Hyperlink"/>
    <w:basedOn w:val="DefaultParagraphFont"/>
    <w:uiPriority w:val="99"/>
    <w:semiHidden/>
    <w:unhideWhenUsed/>
    <w:rsid w:val="001B2F86"/>
    <w:rPr>
      <w:color w:val="0000FF"/>
      <w:u w:val="single"/>
    </w:rPr>
  </w:style>
  <w:style w:type="character" w:styleId="FollowedHyperlink">
    <w:name w:val="FollowedHyperlink"/>
    <w:basedOn w:val="DefaultParagraphFont"/>
    <w:uiPriority w:val="99"/>
    <w:semiHidden/>
    <w:unhideWhenUsed/>
    <w:rsid w:val="001B2F86"/>
    <w:rPr>
      <w:color w:val="800080"/>
      <w:u w:val="single"/>
    </w:rPr>
  </w:style>
  <w:style w:type="paragraph" w:customStyle="1" w:styleId="td">
    <w:name w:val="td"/>
    <w:basedOn w:val="Normal"/>
    <w:rsid w:val="001B2F86"/>
    <w:pPr>
      <w:spacing w:before="100" w:beforeAutospacing="1" w:after="100" w:afterAutospacing="1" w:line="240" w:lineRule="auto"/>
    </w:pPr>
    <w:rPr>
      <w:rFonts w:ascii="Arial" w:eastAsia="Times New Roman" w:hAnsi="Arial" w:cs="Arial"/>
      <w:sz w:val="18"/>
      <w:szCs w:val="18"/>
    </w:rPr>
  </w:style>
  <w:style w:type="paragraph" w:customStyle="1" w:styleId="tr">
    <w:name w:val="tr"/>
    <w:basedOn w:val="Normal"/>
    <w:rsid w:val="001B2F86"/>
    <w:pPr>
      <w:spacing w:before="100" w:beforeAutospacing="1" w:after="100" w:afterAutospacing="1" w:line="240" w:lineRule="auto"/>
    </w:pPr>
    <w:rPr>
      <w:rFonts w:ascii="Arial" w:eastAsia="Times New Roman" w:hAnsi="Arial" w:cs="Arial"/>
      <w:sz w:val="18"/>
      <w:szCs w:val="18"/>
    </w:rPr>
  </w:style>
  <w:style w:type="paragraph" w:customStyle="1" w:styleId="h1">
    <w:name w:val="h1"/>
    <w:basedOn w:val="Normal"/>
    <w:rsid w:val="001B2F86"/>
    <w:pPr>
      <w:spacing w:before="100" w:beforeAutospacing="1" w:after="100" w:afterAutospacing="1" w:line="360" w:lineRule="atLeast"/>
    </w:pPr>
    <w:rPr>
      <w:rFonts w:ascii="Arial" w:eastAsia="Times New Roman" w:hAnsi="Arial" w:cs="Arial"/>
      <w:b/>
      <w:bCs/>
    </w:rPr>
  </w:style>
  <w:style w:type="paragraph" w:customStyle="1" w:styleId="h2">
    <w:name w:val="h2"/>
    <w:basedOn w:val="Normal"/>
    <w:rsid w:val="001B2F86"/>
    <w:pPr>
      <w:spacing w:before="100" w:beforeAutospacing="1" w:after="0" w:line="240" w:lineRule="auto"/>
    </w:pPr>
    <w:rPr>
      <w:rFonts w:ascii="Arial" w:eastAsia="Times New Roman" w:hAnsi="Arial" w:cs="Arial"/>
      <w:b/>
      <w:bCs/>
      <w:color w:val="000000"/>
      <w:sz w:val="21"/>
      <w:szCs w:val="21"/>
    </w:rPr>
  </w:style>
  <w:style w:type="paragraph" w:customStyle="1" w:styleId="h3">
    <w:name w:val="h3"/>
    <w:basedOn w:val="Normal"/>
    <w:rsid w:val="001B2F86"/>
    <w:pPr>
      <w:spacing w:before="100" w:beforeAutospacing="1" w:after="0" w:line="240" w:lineRule="auto"/>
    </w:pPr>
    <w:rPr>
      <w:rFonts w:ascii="Arial" w:eastAsia="Times New Roman" w:hAnsi="Arial" w:cs="Arial"/>
      <w:b/>
      <w:bCs/>
      <w:sz w:val="18"/>
      <w:szCs w:val="18"/>
    </w:rPr>
  </w:style>
  <w:style w:type="paragraph" w:customStyle="1" w:styleId="Caption1">
    <w:name w:val="Caption1"/>
    <w:basedOn w:val="Normal"/>
    <w:rsid w:val="001B2F86"/>
    <w:pPr>
      <w:spacing w:before="100" w:beforeAutospacing="1" w:after="0" w:line="240" w:lineRule="auto"/>
    </w:pPr>
    <w:rPr>
      <w:rFonts w:ascii="Arial" w:eastAsia="Times New Roman" w:hAnsi="Arial" w:cs="Arial"/>
      <w:b/>
      <w:bCs/>
      <w:sz w:val="18"/>
      <w:szCs w:val="18"/>
    </w:rPr>
  </w:style>
  <w:style w:type="paragraph" w:customStyle="1" w:styleId="Footer1">
    <w:name w:val="Footer1"/>
    <w:basedOn w:val="Normal"/>
    <w:rsid w:val="001B2F86"/>
    <w:pPr>
      <w:spacing w:before="100" w:beforeAutospacing="1" w:after="100" w:afterAutospacing="1" w:line="240" w:lineRule="auto"/>
      <w:jc w:val="center"/>
    </w:pPr>
    <w:rPr>
      <w:rFonts w:ascii="Arial" w:eastAsia="Times New Roman" w:hAnsi="Arial" w:cs="Arial"/>
      <w:sz w:val="15"/>
      <w:szCs w:val="15"/>
    </w:rPr>
  </w:style>
  <w:style w:type="paragraph" w:customStyle="1" w:styleId="top">
    <w:name w:val="top"/>
    <w:basedOn w:val="Normal"/>
    <w:rsid w:val="001B2F86"/>
    <w:pPr>
      <w:spacing w:before="100" w:beforeAutospacing="1" w:after="100" w:afterAutospacing="1" w:line="240" w:lineRule="auto"/>
      <w:jc w:val="right"/>
    </w:pPr>
    <w:rPr>
      <w:rFonts w:ascii="Arial" w:eastAsia="Times New Roman" w:hAnsi="Arial" w:cs="Arial"/>
      <w:sz w:val="15"/>
      <w:szCs w:val="15"/>
    </w:rPr>
  </w:style>
  <w:style w:type="paragraph" w:customStyle="1" w:styleId="tablespacing">
    <w:name w:val="tablespacing"/>
    <w:basedOn w:val="Normal"/>
    <w:rsid w:val="001B2F86"/>
    <w:pPr>
      <w:spacing w:before="100" w:beforeAutospacing="1" w:after="100" w:afterAutospacing="1" w:line="240" w:lineRule="auto"/>
    </w:pPr>
    <w:rPr>
      <w:rFonts w:eastAsia="Times New Roman"/>
    </w:rPr>
  </w:style>
  <w:style w:type="paragraph" w:customStyle="1" w:styleId="fontsmall">
    <w:name w:val="fontsmall"/>
    <w:basedOn w:val="Normal"/>
    <w:rsid w:val="001B2F86"/>
    <w:pPr>
      <w:spacing w:before="100" w:beforeAutospacing="1" w:after="100" w:afterAutospacing="1" w:line="240" w:lineRule="auto"/>
    </w:pPr>
    <w:rPr>
      <w:rFonts w:ascii="Arial" w:eastAsia="Times New Roman" w:hAnsi="Arial" w:cs="Arial"/>
      <w:sz w:val="17"/>
      <w:szCs w:val="17"/>
    </w:rPr>
  </w:style>
  <w:style w:type="paragraph" w:customStyle="1" w:styleId="navigation">
    <w:name w:val="navigation"/>
    <w:basedOn w:val="Normal"/>
    <w:rsid w:val="001B2F86"/>
    <w:pPr>
      <w:spacing w:before="100" w:beforeAutospacing="1" w:after="100" w:afterAutospacing="1" w:line="240" w:lineRule="auto"/>
    </w:pPr>
    <w:rPr>
      <w:rFonts w:ascii="Arial" w:eastAsia="Times New Roman" w:hAnsi="Arial" w:cs="Arial"/>
      <w:sz w:val="15"/>
      <w:szCs w:val="15"/>
    </w:rPr>
  </w:style>
  <w:style w:type="paragraph" w:customStyle="1" w:styleId="invisiblelink">
    <w:name w:val="invisiblelink"/>
    <w:basedOn w:val="Normal"/>
    <w:rsid w:val="001B2F86"/>
    <w:pPr>
      <w:spacing w:before="100" w:beforeAutospacing="1" w:after="100" w:afterAutospacing="1" w:line="240" w:lineRule="auto"/>
    </w:pPr>
    <w:rPr>
      <w:rFonts w:ascii="Arial" w:eastAsia="Times New Roman" w:hAnsi="Arial" w:cs="Arial"/>
      <w:color w:val="FFFFFF"/>
      <w:sz w:val="15"/>
      <w:szCs w:val="15"/>
    </w:rPr>
  </w:style>
  <w:style w:type="paragraph" w:customStyle="1" w:styleId="toplogo">
    <w:name w:val="toplogo"/>
    <w:basedOn w:val="Normal"/>
    <w:rsid w:val="001B2F86"/>
    <w:pPr>
      <w:spacing w:before="100" w:beforeAutospacing="1" w:after="0" w:line="240" w:lineRule="auto"/>
    </w:pPr>
    <w:rPr>
      <w:rFonts w:ascii="Arial" w:eastAsia="Times New Roman" w:hAnsi="Arial" w:cs="Arial"/>
      <w:b/>
      <w:bCs/>
      <w:sz w:val="21"/>
      <w:szCs w:val="21"/>
    </w:rPr>
  </w:style>
  <w:style w:type="paragraph" w:customStyle="1" w:styleId="search">
    <w:name w:val="search"/>
    <w:basedOn w:val="Normal"/>
    <w:rsid w:val="001B2F86"/>
    <w:pPr>
      <w:spacing w:before="100" w:beforeAutospacing="1" w:after="100" w:afterAutospacing="1" w:line="240" w:lineRule="auto"/>
    </w:pPr>
    <w:rPr>
      <w:rFonts w:ascii="Arial" w:eastAsia="Times New Roman" w:hAnsi="Arial" w:cs="Arial"/>
      <w:sz w:val="15"/>
      <w:szCs w:val="15"/>
    </w:rPr>
  </w:style>
  <w:style w:type="paragraph" w:customStyle="1" w:styleId="side">
    <w:name w:val="side"/>
    <w:basedOn w:val="Normal"/>
    <w:rsid w:val="001B2F86"/>
    <w:pPr>
      <w:spacing w:before="100" w:beforeAutospacing="1" w:after="100" w:afterAutospacing="1" w:line="240" w:lineRule="auto"/>
    </w:pPr>
    <w:rPr>
      <w:rFonts w:ascii="Arial" w:eastAsia="Times New Roman" w:hAnsi="Arial" w:cs="Arial"/>
      <w:sz w:val="18"/>
      <w:szCs w:val="18"/>
    </w:rPr>
  </w:style>
  <w:style w:type="paragraph" w:customStyle="1" w:styleId="subparagraph">
    <w:name w:val="subparagraph"/>
    <w:basedOn w:val="Normal"/>
    <w:rsid w:val="001B2F86"/>
    <w:pPr>
      <w:spacing w:before="100" w:beforeAutospacing="1" w:after="100" w:afterAutospacing="1" w:line="240" w:lineRule="auto"/>
    </w:pPr>
    <w:rPr>
      <w:rFonts w:ascii="Arial" w:eastAsia="Times New Roman" w:hAnsi="Arial" w:cs="Arial"/>
      <w:sz w:val="18"/>
      <w:szCs w:val="18"/>
    </w:rPr>
  </w:style>
  <w:style w:type="paragraph" w:customStyle="1" w:styleId="head">
    <w:name w:val="head"/>
    <w:basedOn w:val="Normal"/>
    <w:rsid w:val="001B2F86"/>
    <w:pPr>
      <w:spacing w:before="100" w:beforeAutospacing="1" w:after="100" w:afterAutospacing="1" w:line="240" w:lineRule="auto"/>
    </w:pPr>
    <w:rPr>
      <w:rFonts w:ascii="Arial" w:eastAsia="Times New Roman" w:hAnsi="Arial" w:cs="Arial"/>
      <w:b/>
      <w:bCs/>
      <w:sz w:val="27"/>
      <w:szCs w:val="27"/>
    </w:rPr>
  </w:style>
  <w:style w:type="paragraph" w:customStyle="1" w:styleId="recentupdateslink">
    <w:name w:val="recentupdateslink"/>
    <w:basedOn w:val="Normal"/>
    <w:rsid w:val="001B2F86"/>
    <w:pPr>
      <w:spacing w:before="100" w:beforeAutospacing="1" w:after="100" w:afterAutospacing="1" w:line="240" w:lineRule="auto"/>
    </w:pPr>
    <w:rPr>
      <w:rFonts w:ascii="Arial" w:eastAsia="Times New Roman" w:hAnsi="Arial" w:cs="Arial"/>
      <w:b/>
      <w:bCs/>
      <w:sz w:val="18"/>
      <w:szCs w:val="18"/>
    </w:rPr>
  </w:style>
  <w:style w:type="paragraph" w:customStyle="1" w:styleId="updatetitle">
    <w:name w:val="updatetitle"/>
    <w:basedOn w:val="Normal"/>
    <w:rsid w:val="001B2F86"/>
    <w:pPr>
      <w:spacing w:before="100" w:beforeAutospacing="1" w:after="100" w:afterAutospacing="1" w:line="240" w:lineRule="auto"/>
      <w:ind w:firstLine="100"/>
    </w:pPr>
    <w:rPr>
      <w:rFonts w:ascii="Arial" w:eastAsia="Times New Roman" w:hAnsi="Arial" w:cs="Arial"/>
      <w:b/>
      <w:bCs/>
      <w:color w:val="FF0000"/>
      <w:sz w:val="21"/>
      <w:szCs w:val="21"/>
    </w:rPr>
  </w:style>
  <w:style w:type="paragraph" w:customStyle="1" w:styleId="updatebodytest">
    <w:name w:val="updatebodytest"/>
    <w:basedOn w:val="Normal"/>
    <w:rsid w:val="001B2F86"/>
    <w:pPr>
      <w:spacing w:before="100" w:beforeAutospacing="1" w:after="100" w:afterAutospacing="1" w:line="240" w:lineRule="auto"/>
    </w:pPr>
    <w:rPr>
      <w:rFonts w:ascii="Arial" w:eastAsia="Times New Roman" w:hAnsi="Arial" w:cs="Arial"/>
      <w:sz w:val="18"/>
      <w:szCs w:val="18"/>
    </w:rPr>
  </w:style>
  <w:style w:type="paragraph" w:customStyle="1" w:styleId="updatebold">
    <w:name w:val="updatebold"/>
    <w:basedOn w:val="Normal"/>
    <w:rsid w:val="001B2F86"/>
    <w:pPr>
      <w:spacing w:before="100" w:beforeAutospacing="1" w:after="100" w:afterAutospacing="1" w:line="240" w:lineRule="auto"/>
    </w:pPr>
    <w:rPr>
      <w:rFonts w:ascii="Arial" w:eastAsia="Times New Roman" w:hAnsi="Arial" w:cs="Arial"/>
      <w:b/>
      <w:bCs/>
      <w:sz w:val="18"/>
      <w:szCs w:val="18"/>
    </w:rPr>
  </w:style>
  <w:style w:type="paragraph" w:customStyle="1" w:styleId="body">
    <w:name w:val="body"/>
    <w:basedOn w:val="Normal"/>
    <w:rsid w:val="001B2F86"/>
    <w:pPr>
      <w:shd w:val="clear" w:color="auto" w:fill="FFFFFF"/>
      <w:spacing w:before="100" w:beforeAutospacing="1" w:after="100" w:afterAutospacing="1" w:line="240" w:lineRule="auto"/>
    </w:pPr>
    <w:rPr>
      <w:rFonts w:ascii="Arial" w:eastAsia="Times New Roman" w:hAnsi="Arial" w:cs="Arial"/>
      <w:color w:val="000000"/>
    </w:rPr>
  </w:style>
  <w:style w:type="paragraph" w:customStyle="1" w:styleId="a">
    <w:name w:val="a"/>
    <w:basedOn w:val="Normal"/>
    <w:rsid w:val="001B2F86"/>
    <w:pPr>
      <w:spacing w:before="100" w:beforeAutospacing="1" w:after="100" w:afterAutospacing="1" w:line="240" w:lineRule="auto"/>
    </w:pPr>
    <w:rPr>
      <w:rFonts w:eastAsia="Times New Roman"/>
      <w:u w:val="single"/>
    </w:rPr>
  </w:style>
  <w:style w:type="paragraph" w:customStyle="1" w:styleId="p">
    <w:name w:val="p"/>
    <w:basedOn w:val="Normal"/>
    <w:rsid w:val="001B2F86"/>
    <w:pPr>
      <w:spacing w:before="100" w:beforeAutospacing="1" w:after="100" w:afterAutospacing="1" w:line="240" w:lineRule="auto"/>
      <w:jc w:val="center"/>
    </w:pPr>
    <w:rPr>
      <w:rFonts w:ascii="Arial" w:eastAsia="Times New Roman" w:hAnsi="Arial" w:cs="Arial"/>
    </w:rPr>
  </w:style>
  <w:style w:type="paragraph" w:customStyle="1" w:styleId="title">
    <w:name w:val="title"/>
    <w:basedOn w:val="Normal"/>
    <w:rsid w:val="001B2F86"/>
    <w:pPr>
      <w:spacing w:before="100" w:beforeAutospacing="1" w:after="100" w:afterAutospacing="1" w:line="240" w:lineRule="auto"/>
    </w:pPr>
    <w:rPr>
      <w:rFonts w:ascii="Arial" w:eastAsia="Times New Roman" w:hAnsi="Arial" w:cs="Arial"/>
      <w:b/>
      <w:bCs/>
      <w:sz w:val="30"/>
      <w:szCs w:val="30"/>
    </w:rPr>
  </w:style>
  <w:style w:type="paragraph" w:customStyle="1" w:styleId="subtitle">
    <w:name w:val="subtitle"/>
    <w:basedOn w:val="Normal"/>
    <w:rsid w:val="001B2F86"/>
    <w:pPr>
      <w:spacing w:before="100" w:beforeAutospacing="1" w:after="100" w:afterAutospacing="1" w:line="240" w:lineRule="auto"/>
    </w:pPr>
    <w:rPr>
      <w:rFonts w:ascii="Arial" w:eastAsia="Times New Roman" w:hAnsi="Arial" w:cs="Arial"/>
      <w:b/>
      <w:bCs/>
      <w:sz w:val="21"/>
      <w:szCs w:val="21"/>
    </w:rPr>
  </w:style>
  <w:style w:type="paragraph" w:customStyle="1" w:styleId="mainheader">
    <w:name w:val="mainheader"/>
    <w:basedOn w:val="Normal"/>
    <w:rsid w:val="001B2F86"/>
    <w:pPr>
      <w:spacing w:before="100" w:beforeAutospacing="1" w:after="100" w:afterAutospacing="1" w:line="240" w:lineRule="auto"/>
    </w:pPr>
    <w:rPr>
      <w:rFonts w:eastAsia="Times New Roman"/>
      <w:b/>
      <w:bCs/>
      <w:sz w:val="31"/>
      <w:szCs w:val="31"/>
    </w:rPr>
  </w:style>
  <w:style w:type="paragraph" w:customStyle="1" w:styleId="chapter">
    <w:name w:val="chapter"/>
    <w:basedOn w:val="Normal"/>
    <w:rsid w:val="001B2F86"/>
    <w:pPr>
      <w:spacing w:before="100" w:beforeAutospacing="1" w:after="100" w:afterAutospacing="1" w:line="240" w:lineRule="auto"/>
    </w:pPr>
    <w:rPr>
      <w:rFonts w:ascii="Arial" w:eastAsia="Times New Roman" w:hAnsi="Arial" w:cs="Arial"/>
      <w:b/>
      <w:bCs/>
    </w:rPr>
  </w:style>
  <w:style w:type="paragraph" w:customStyle="1" w:styleId="subchapter">
    <w:name w:val="subchapter"/>
    <w:basedOn w:val="Normal"/>
    <w:rsid w:val="001B2F86"/>
    <w:pPr>
      <w:spacing w:before="100" w:beforeAutospacing="1" w:after="100" w:afterAutospacing="1" w:line="240" w:lineRule="auto"/>
    </w:pPr>
    <w:rPr>
      <w:rFonts w:ascii="Arial" w:eastAsia="Times New Roman" w:hAnsi="Arial" w:cs="Arial"/>
      <w:b/>
      <w:bCs/>
      <w:sz w:val="21"/>
      <w:szCs w:val="21"/>
    </w:rPr>
  </w:style>
  <w:style w:type="paragraph" w:customStyle="1" w:styleId="part">
    <w:name w:val="part"/>
    <w:basedOn w:val="Normal"/>
    <w:rsid w:val="001B2F86"/>
    <w:pPr>
      <w:spacing w:before="100" w:beforeAutospacing="1" w:after="100" w:afterAutospacing="1" w:line="240" w:lineRule="auto"/>
    </w:pPr>
    <w:rPr>
      <w:rFonts w:eastAsia="Times New Roman"/>
      <w:b/>
      <w:bCs/>
    </w:rPr>
  </w:style>
  <w:style w:type="paragraph" w:customStyle="1" w:styleId="subpart">
    <w:name w:val="subpart"/>
    <w:basedOn w:val="Normal"/>
    <w:rsid w:val="001B2F86"/>
    <w:pPr>
      <w:shd w:val="clear" w:color="auto" w:fill="FFFFFF"/>
      <w:spacing w:before="100" w:beforeAutospacing="1" w:after="100" w:afterAutospacing="1" w:line="240" w:lineRule="auto"/>
    </w:pPr>
    <w:rPr>
      <w:rFonts w:eastAsia="Times New Roman"/>
      <w:color w:val="0000FF"/>
      <w:sz w:val="22"/>
      <w:szCs w:val="22"/>
    </w:rPr>
  </w:style>
  <w:style w:type="paragraph" w:customStyle="1" w:styleId="nopart">
    <w:name w:val="nopart"/>
    <w:basedOn w:val="Normal"/>
    <w:rsid w:val="001B2F86"/>
    <w:pPr>
      <w:shd w:val="clear" w:color="auto" w:fill="FFFFFF"/>
      <w:spacing w:before="100" w:beforeAutospacing="1" w:after="100" w:afterAutospacing="1" w:line="240" w:lineRule="auto"/>
    </w:pPr>
    <w:rPr>
      <w:rFonts w:eastAsia="Times New Roman"/>
      <w:color w:val="008000"/>
    </w:rPr>
  </w:style>
  <w:style w:type="paragraph" w:customStyle="1" w:styleId="reserved">
    <w:name w:val="reserved"/>
    <w:basedOn w:val="Normal"/>
    <w:rsid w:val="001B2F86"/>
    <w:pPr>
      <w:shd w:val="clear" w:color="auto" w:fill="FFFFFF"/>
      <w:spacing w:before="100" w:beforeAutospacing="1" w:after="100" w:afterAutospacing="1" w:line="240" w:lineRule="auto"/>
    </w:pPr>
    <w:rPr>
      <w:rFonts w:eastAsia="Times New Roman"/>
      <w:color w:val="FF0000"/>
    </w:rPr>
  </w:style>
  <w:style w:type="paragraph" w:customStyle="1" w:styleId="menu">
    <w:name w:val="menu"/>
    <w:basedOn w:val="Normal"/>
    <w:rsid w:val="001B2F86"/>
    <w:pPr>
      <w:spacing w:before="100" w:beforeAutospacing="1" w:after="100" w:afterAutospacing="1" w:line="240" w:lineRule="auto"/>
    </w:pPr>
    <w:rPr>
      <w:rFonts w:ascii="Arial" w:eastAsia="Times New Roman" w:hAnsi="Arial" w:cs="Arial"/>
      <w:sz w:val="18"/>
      <w:szCs w:val="18"/>
    </w:rPr>
  </w:style>
  <w:style w:type="paragraph" w:customStyle="1" w:styleId="hilite">
    <w:name w:val="hilite"/>
    <w:basedOn w:val="Normal"/>
    <w:rsid w:val="001B2F86"/>
    <w:pPr>
      <w:spacing w:before="100" w:beforeAutospacing="1" w:after="100" w:afterAutospacing="1" w:line="240" w:lineRule="auto"/>
    </w:pPr>
    <w:rPr>
      <w:rFonts w:eastAsia="Times New Roman"/>
      <w:b/>
      <w:bCs/>
      <w:color w:val="CC0000"/>
    </w:rPr>
  </w:style>
  <w:style w:type="paragraph" w:customStyle="1" w:styleId="gpotblhang">
    <w:name w:val="gpotbl_hang"/>
    <w:basedOn w:val="Normal"/>
    <w:rsid w:val="001B2F86"/>
    <w:pPr>
      <w:spacing w:before="100" w:beforeAutospacing="1" w:after="100" w:afterAutospacing="1" w:line="240" w:lineRule="auto"/>
      <w:ind w:hanging="480"/>
    </w:pPr>
    <w:rPr>
      <w:rFonts w:eastAsia="Times New Roman"/>
    </w:rPr>
  </w:style>
  <w:style w:type="paragraph" w:customStyle="1" w:styleId="gpotbltable">
    <w:name w:val="gpotbl_table"/>
    <w:basedOn w:val="Normal"/>
    <w:rsid w:val="001B2F86"/>
    <w:pPr>
      <w:spacing w:before="100" w:beforeAutospacing="1" w:after="100" w:afterAutospacing="1" w:line="240" w:lineRule="auto"/>
    </w:pPr>
    <w:rPr>
      <w:rFonts w:eastAsia="Times New Roman"/>
    </w:rPr>
  </w:style>
  <w:style w:type="paragraph" w:customStyle="1" w:styleId="gpotbldiv">
    <w:name w:val="gpotbl_div"/>
    <w:basedOn w:val="Normal"/>
    <w:rsid w:val="001B2F86"/>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eastAsia="Times New Roman"/>
    </w:rPr>
  </w:style>
  <w:style w:type="paragraph" w:customStyle="1" w:styleId="gpotbltitle">
    <w:name w:val="gpotbl_title"/>
    <w:basedOn w:val="Normal"/>
    <w:rsid w:val="001B2F86"/>
    <w:pPr>
      <w:spacing w:before="100" w:beforeAutospacing="1" w:after="100" w:afterAutospacing="1" w:line="240" w:lineRule="auto"/>
      <w:jc w:val="center"/>
    </w:pPr>
    <w:rPr>
      <w:rFonts w:eastAsia="Times New Roman"/>
      <w:b/>
      <w:bCs/>
    </w:rPr>
  </w:style>
  <w:style w:type="paragraph" w:customStyle="1" w:styleId="gpotbldescription">
    <w:name w:val="gpotbl_description"/>
    <w:basedOn w:val="Normal"/>
    <w:rsid w:val="001B2F86"/>
    <w:pPr>
      <w:spacing w:before="100" w:beforeAutospacing="1" w:after="100" w:afterAutospacing="1" w:line="240" w:lineRule="auto"/>
      <w:jc w:val="center"/>
    </w:pPr>
    <w:rPr>
      <w:rFonts w:eastAsia="Times New Roman"/>
    </w:rPr>
  </w:style>
  <w:style w:type="paragraph" w:customStyle="1" w:styleId="gpotblcell">
    <w:name w:val="gpotbl_cell"/>
    <w:basedOn w:val="Normal"/>
    <w:rsid w:val="001B2F8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top"/>
    </w:pPr>
    <w:rPr>
      <w:rFonts w:eastAsia="Times New Roman"/>
    </w:rPr>
  </w:style>
  <w:style w:type="paragraph" w:customStyle="1" w:styleId="gpotblcolhed">
    <w:name w:val="gpotbl_colhed"/>
    <w:basedOn w:val="Normal"/>
    <w:rsid w:val="001B2F8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bottom"/>
    </w:pPr>
    <w:rPr>
      <w:rFonts w:eastAsia="Times New Roman"/>
    </w:rPr>
  </w:style>
  <w:style w:type="paragraph" w:customStyle="1" w:styleId="white">
    <w:name w:val="white"/>
    <w:basedOn w:val="Normal"/>
    <w:rsid w:val="001B2F86"/>
    <w:pPr>
      <w:spacing w:after="0" w:line="240" w:lineRule="auto"/>
    </w:pPr>
    <w:rPr>
      <w:rFonts w:eastAsia="Times New Roman"/>
      <w:color w:val="FFFFFF"/>
    </w:rPr>
  </w:style>
  <w:style w:type="character" w:customStyle="1" w:styleId="updatebodytest1">
    <w:name w:val="updatebodytest1"/>
    <w:basedOn w:val="DefaultParagraphFont"/>
    <w:rsid w:val="001B2F86"/>
    <w:rPr>
      <w:rFonts w:ascii="Arial" w:hAnsi="Arial" w:cs="Arial" w:hint="default"/>
      <w:b w:val="0"/>
      <w:bCs w:val="0"/>
      <w:i w:val="0"/>
      <w:iCs w:val="0"/>
      <w:smallCaps w:val="0"/>
      <w:sz w:val="18"/>
      <w:szCs w:val="18"/>
    </w:rPr>
  </w:style>
  <w:style w:type="paragraph" w:styleId="NormalWeb">
    <w:name w:val="Normal (Web)"/>
    <w:basedOn w:val="Normal"/>
    <w:uiPriority w:val="99"/>
    <w:semiHidden/>
    <w:unhideWhenUsed/>
    <w:rsid w:val="001B2F86"/>
    <w:pPr>
      <w:spacing w:before="100" w:beforeAutospacing="1" w:after="100" w:afterAutospacing="1" w:line="240" w:lineRule="auto"/>
    </w:pPr>
    <w:rPr>
      <w:rFonts w:eastAsia="Times New Roman"/>
    </w:rPr>
  </w:style>
  <w:style w:type="paragraph" w:customStyle="1" w:styleId="gpotblnote">
    <w:name w:val="gpotbl_note"/>
    <w:basedOn w:val="Normal"/>
    <w:rsid w:val="001B2F86"/>
    <w:pPr>
      <w:spacing w:before="100" w:beforeAutospacing="1" w:after="100" w:afterAutospacing="1" w:line="240" w:lineRule="auto"/>
    </w:pPr>
    <w:rPr>
      <w:rFonts w:eastAsia="Times New Roman"/>
    </w:rPr>
  </w:style>
</w:styles>
</file>

<file path=word/webSettings.xml><?xml version="1.0" encoding="utf-8"?>
<w:webSettings xmlns:r="http://schemas.openxmlformats.org/officeDocument/2006/relationships" xmlns:w="http://schemas.openxmlformats.org/wordprocessingml/2006/main">
  <w:divs>
    <w:div w:id="1908690291">
      <w:bodyDiv w:val="1"/>
      <w:marLeft w:val="0"/>
      <w:marRight w:val="0"/>
      <w:marTop w:val="0"/>
      <w:marBottom w:val="0"/>
      <w:divBdr>
        <w:top w:val="none" w:sz="0" w:space="0" w:color="auto"/>
        <w:left w:val="none" w:sz="0" w:space="0" w:color="auto"/>
        <w:bottom w:val="none" w:sz="0" w:space="0" w:color="auto"/>
        <w:right w:val="none" w:sz="0" w:space="0" w:color="auto"/>
      </w:divBdr>
      <w:divsChild>
        <w:div w:id="816145669">
          <w:marLeft w:val="0"/>
          <w:marRight w:val="0"/>
          <w:marTop w:val="0"/>
          <w:marBottom w:val="0"/>
          <w:divBdr>
            <w:top w:val="none" w:sz="0" w:space="0" w:color="auto"/>
            <w:left w:val="none" w:sz="0" w:space="0" w:color="auto"/>
            <w:bottom w:val="none" w:sz="0" w:space="0" w:color="auto"/>
            <w:right w:val="none" w:sz="0" w:space="0" w:color="auto"/>
          </w:divBdr>
          <w:divsChild>
            <w:div w:id="1548951587">
              <w:marLeft w:val="0"/>
              <w:marRight w:val="0"/>
              <w:marTop w:val="0"/>
              <w:marBottom w:val="0"/>
              <w:divBdr>
                <w:top w:val="none" w:sz="0" w:space="0" w:color="auto"/>
                <w:left w:val="none" w:sz="0" w:space="0" w:color="auto"/>
                <w:bottom w:val="none" w:sz="0" w:space="0" w:color="auto"/>
                <w:right w:val="none" w:sz="0" w:space="0" w:color="auto"/>
              </w:divBdr>
            </w:div>
            <w:div w:id="16650146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58131724">
          <w:marLeft w:val="0"/>
          <w:marRight w:val="0"/>
          <w:marTop w:val="0"/>
          <w:marBottom w:val="0"/>
          <w:divBdr>
            <w:top w:val="none" w:sz="0" w:space="0" w:color="auto"/>
            <w:left w:val="none" w:sz="0" w:space="0" w:color="auto"/>
            <w:bottom w:val="none" w:sz="0" w:space="0" w:color="auto"/>
            <w:right w:val="none" w:sz="0" w:space="0" w:color="auto"/>
          </w:divBdr>
          <w:divsChild>
            <w:div w:id="679509309">
              <w:marLeft w:val="0"/>
              <w:marRight w:val="0"/>
              <w:marTop w:val="0"/>
              <w:marBottom w:val="0"/>
              <w:divBdr>
                <w:top w:val="none" w:sz="0" w:space="0" w:color="auto"/>
                <w:left w:val="none" w:sz="0" w:space="0" w:color="auto"/>
                <w:bottom w:val="none" w:sz="0" w:space="0" w:color="auto"/>
                <w:right w:val="none" w:sz="0" w:space="0" w:color="auto"/>
              </w:divBdr>
            </w:div>
            <w:div w:id="13030793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08296894">
          <w:marLeft w:val="0"/>
          <w:marRight w:val="0"/>
          <w:marTop w:val="0"/>
          <w:marBottom w:val="0"/>
          <w:divBdr>
            <w:top w:val="none" w:sz="0" w:space="0" w:color="auto"/>
            <w:left w:val="none" w:sz="0" w:space="0" w:color="auto"/>
            <w:bottom w:val="none" w:sz="0" w:space="0" w:color="auto"/>
            <w:right w:val="none" w:sz="0" w:space="0" w:color="auto"/>
          </w:divBdr>
          <w:divsChild>
            <w:div w:id="993027304">
              <w:marLeft w:val="0"/>
              <w:marRight w:val="0"/>
              <w:marTop w:val="0"/>
              <w:marBottom w:val="0"/>
              <w:divBdr>
                <w:top w:val="none" w:sz="0" w:space="0" w:color="auto"/>
                <w:left w:val="none" w:sz="0" w:space="0" w:color="auto"/>
                <w:bottom w:val="none" w:sz="0" w:space="0" w:color="auto"/>
                <w:right w:val="none" w:sz="0" w:space="0" w:color="auto"/>
              </w:divBdr>
            </w:div>
            <w:div w:id="130072017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51824358">
          <w:marLeft w:val="0"/>
          <w:marRight w:val="0"/>
          <w:marTop w:val="0"/>
          <w:marBottom w:val="0"/>
          <w:divBdr>
            <w:top w:val="none" w:sz="0" w:space="0" w:color="auto"/>
            <w:left w:val="none" w:sz="0" w:space="0" w:color="auto"/>
            <w:bottom w:val="none" w:sz="0" w:space="0" w:color="auto"/>
            <w:right w:val="none" w:sz="0" w:space="0" w:color="auto"/>
          </w:divBdr>
          <w:divsChild>
            <w:div w:id="137648361">
              <w:marLeft w:val="0"/>
              <w:marRight w:val="0"/>
              <w:marTop w:val="0"/>
              <w:marBottom w:val="0"/>
              <w:divBdr>
                <w:top w:val="none" w:sz="0" w:space="0" w:color="auto"/>
                <w:left w:val="none" w:sz="0" w:space="0" w:color="auto"/>
                <w:bottom w:val="none" w:sz="0" w:space="0" w:color="auto"/>
                <w:right w:val="none" w:sz="0" w:space="0" w:color="auto"/>
              </w:divBdr>
            </w:div>
            <w:div w:id="1929926655">
              <w:marLeft w:val="0"/>
              <w:marRight w:val="0"/>
              <w:marTop w:val="0"/>
              <w:marBottom w:val="0"/>
              <w:divBdr>
                <w:top w:val="single" w:sz="12" w:space="0" w:color="000000"/>
                <w:left w:val="single" w:sz="12" w:space="0" w:color="000000"/>
                <w:bottom w:val="single" w:sz="12" w:space="0" w:color="000000"/>
                <w:right w:val="single" w:sz="12" w:space="0" w:color="000000"/>
              </w:divBdr>
            </w:div>
            <w:div w:id="2105877802">
              <w:marLeft w:val="0"/>
              <w:marRight w:val="0"/>
              <w:marTop w:val="0"/>
              <w:marBottom w:val="0"/>
              <w:divBdr>
                <w:top w:val="none" w:sz="0" w:space="0" w:color="auto"/>
                <w:left w:val="none" w:sz="0" w:space="0" w:color="auto"/>
                <w:bottom w:val="none" w:sz="0" w:space="0" w:color="auto"/>
                <w:right w:val="none" w:sz="0" w:space="0" w:color="auto"/>
              </w:divBdr>
            </w:div>
          </w:divsChild>
        </w:div>
        <w:div w:id="1561475223">
          <w:marLeft w:val="0"/>
          <w:marRight w:val="0"/>
          <w:marTop w:val="0"/>
          <w:marBottom w:val="0"/>
          <w:divBdr>
            <w:top w:val="none" w:sz="0" w:space="0" w:color="auto"/>
            <w:left w:val="none" w:sz="0" w:space="0" w:color="auto"/>
            <w:bottom w:val="none" w:sz="0" w:space="0" w:color="auto"/>
            <w:right w:val="none" w:sz="0" w:space="0" w:color="auto"/>
          </w:divBdr>
          <w:divsChild>
            <w:div w:id="979842918">
              <w:marLeft w:val="0"/>
              <w:marRight w:val="0"/>
              <w:marTop w:val="0"/>
              <w:marBottom w:val="0"/>
              <w:divBdr>
                <w:top w:val="none" w:sz="0" w:space="0" w:color="auto"/>
                <w:left w:val="none" w:sz="0" w:space="0" w:color="auto"/>
                <w:bottom w:val="none" w:sz="0" w:space="0" w:color="auto"/>
                <w:right w:val="none" w:sz="0" w:space="0" w:color="auto"/>
              </w:divBdr>
            </w:div>
            <w:div w:id="14821153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3801694">
          <w:marLeft w:val="0"/>
          <w:marRight w:val="0"/>
          <w:marTop w:val="0"/>
          <w:marBottom w:val="0"/>
          <w:divBdr>
            <w:top w:val="none" w:sz="0" w:space="0" w:color="auto"/>
            <w:left w:val="none" w:sz="0" w:space="0" w:color="auto"/>
            <w:bottom w:val="none" w:sz="0" w:space="0" w:color="auto"/>
            <w:right w:val="none" w:sz="0" w:space="0" w:color="auto"/>
          </w:divBdr>
          <w:divsChild>
            <w:div w:id="182328523">
              <w:marLeft w:val="0"/>
              <w:marRight w:val="0"/>
              <w:marTop w:val="0"/>
              <w:marBottom w:val="0"/>
              <w:divBdr>
                <w:top w:val="none" w:sz="0" w:space="0" w:color="auto"/>
                <w:left w:val="none" w:sz="0" w:space="0" w:color="auto"/>
                <w:bottom w:val="none" w:sz="0" w:space="0" w:color="auto"/>
                <w:right w:val="none" w:sz="0" w:space="0" w:color="auto"/>
              </w:divBdr>
            </w:div>
            <w:div w:id="673342766">
              <w:marLeft w:val="0"/>
              <w:marRight w:val="0"/>
              <w:marTop w:val="0"/>
              <w:marBottom w:val="0"/>
              <w:divBdr>
                <w:top w:val="single" w:sz="12" w:space="0" w:color="000000"/>
                <w:left w:val="single" w:sz="12" w:space="0" w:color="000000"/>
                <w:bottom w:val="single" w:sz="12" w:space="0" w:color="000000"/>
                <w:right w:val="single" w:sz="12" w:space="0" w:color="000000"/>
              </w:divBdr>
            </w:div>
            <w:div w:id="705757680">
              <w:marLeft w:val="0"/>
              <w:marRight w:val="0"/>
              <w:marTop w:val="0"/>
              <w:marBottom w:val="0"/>
              <w:divBdr>
                <w:top w:val="none" w:sz="0" w:space="0" w:color="auto"/>
                <w:left w:val="none" w:sz="0" w:space="0" w:color="auto"/>
                <w:bottom w:val="none" w:sz="0" w:space="0" w:color="auto"/>
                <w:right w:val="none" w:sz="0" w:space="0" w:color="auto"/>
              </w:divBdr>
            </w:div>
          </w:divsChild>
        </w:div>
        <w:div w:id="712970752">
          <w:marLeft w:val="0"/>
          <w:marRight w:val="0"/>
          <w:marTop w:val="0"/>
          <w:marBottom w:val="0"/>
          <w:divBdr>
            <w:top w:val="none" w:sz="0" w:space="0" w:color="auto"/>
            <w:left w:val="none" w:sz="0" w:space="0" w:color="auto"/>
            <w:bottom w:val="none" w:sz="0" w:space="0" w:color="auto"/>
            <w:right w:val="none" w:sz="0" w:space="0" w:color="auto"/>
          </w:divBdr>
          <w:divsChild>
            <w:div w:id="1650595126">
              <w:marLeft w:val="0"/>
              <w:marRight w:val="0"/>
              <w:marTop w:val="0"/>
              <w:marBottom w:val="0"/>
              <w:divBdr>
                <w:top w:val="none" w:sz="0" w:space="0" w:color="auto"/>
                <w:left w:val="none" w:sz="0" w:space="0" w:color="auto"/>
                <w:bottom w:val="none" w:sz="0" w:space="0" w:color="auto"/>
                <w:right w:val="none" w:sz="0" w:space="0" w:color="auto"/>
              </w:divBdr>
            </w:div>
            <w:div w:id="11291297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62029593">
          <w:marLeft w:val="0"/>
          <w:marRight w:val="0"/>
          <w:marTop w:val="0"/>
          <w:marBottom w:val="0"/>
          <w:divBdr>
            <w:top w:val="none" w:sz="0" w:space="0" w:color="auto"/>
            <w:left w:val="none" w:sz="0" w:space="0" w:color="auto"/>
            <w:bottom w:val="none" w:sz="0" w:space="0" w:color="auto"/>
            <w:right w:val="none" w:sz="0" w:space="0" w:color="auto"/>
          </w:divBdr>
          <w:divsChild>
            <w:div w:id="496961849">
              <w:marLeft w:val="0"/>
              <w:marRight w:val="0"/>
              <w:marTop w:val="0"/>
              <w:marBottom w:val="0"/>
              <w:divBdr>
                <w:top w:val="none" w:sz="0" w:space="0" w:color="auto"/>
                <w:left w:val="none" w:sz="0" w:space="0" w:color="auto"/>
                <w:bottom w:val="none" w:sz="0" w:space="0" w:color="auto"/>
                <w:right w:val="none" w:sz="0" w:space="0" w:color="auto"/>
              </w:divBdr>
            </w:div>
            <w:div w:id="17413192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0" Type="http://schemas.openxmlformats.org/officeDocument/2006/relationships/image" Target="media/image7.gif"/><Relationship Id="rId4" Type="http://schemas.openxmlformats.org/officeDocument/2006/relationships/image" Target="media/image1.gif"/><Relationship Id="rId9"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8930</Words>
  <Characters>50906</Characters>
  <Application>Microsoft Office Word</Application>
  <DocSecurity>0</DocSecurity>
  <Lines>424</Lines>
  <Paragraphs>119</Paragraphs>
  <ScaleCrop>false</ScaleCrop>
  <Company/>
  <LinksUpToDate>false</LinksUpToDate>
  <CharactersWithSpaces>59717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2012-04-25T15:10:00Z</cp:lastPrinted>
  <dcterms:created xsi:type="dcterms:W3CDTF">2012-04-25T15:10:00Z</dcterms:created>
  <dcterms:modified xsi:type="dcterms:W3CDTF">2012-04-25T15:10:00Z</dcterms:modified>
</cp:coreProperties>
</file>